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1F61" w14:textId="77777777" w:rsidR="00451385" w:rsidRPr="002B16A4" w:rsidRDefault="00451385" w:rsidP="00451385">
      <w:pPr>
        <w:autoSpaceDE w:val="0"/>
        <w:autoSpaceDN w:val="0"/>
        <w:adjustRightInd w:val="0"/>
        <w:spacing w:after="0"/>
        <w:jc w:val="center"/>
        <w:rPr>
          <w:rFonts w:ascii="Trebuchet MS" w:hAnsi="Trebuchet MS" w:cs="Trebuchet MS"/>
          <w:b/>
          <w:bCs/>
          <w:color w:val="000000" w:themeColor="text1"/>
        </w:rPr>
      </w:pPr>
      <w:r w:rsidRPr="002B16A4">
        <w:rPr>
          <w:rFonts w:ascii="Trebuchet MS" w:hAnsi="Trebuchet MS" w:cs="Trebuchet MS"/>
          <w:b/>
          <w:bCs/>
          <w:color w:val="000000" w:themeColor="text1"/>
        </w:rPr>
        <w:t>FIŞA MĂSURII M7/6B</w:t>
      </w:r>
    </w:p>
    <w:p w14:paraId="4E82AE18" w14:textId="77777777" w:rsidR="00451385" w:rsidRPr="002B16A4" w:rsidRDefault="00451385" w:rsidP="00451385">
      <w:pPr>
        <w:autoSpaceDE w:val="0"/>
        <w:autoSpaceDN w:val="0"/>
        <w:adjustRightInd w:val="0"/>
        <w:spacing w:after="0"/>
        <w:jc w:val="center"/>
        <w:rPr>
          <w:rFonts w:ascii="Trebuchet MS" w:hAnsi="Trebuchet MS" w:cs="Trebuchet MS"/>
          <w:b/>
          <w:bCs/>
          <w:color w:val="000000" w:themeColor="text1"/>
        </w:rPr>
      </w:pPr>
      <w:r w:rsidRPr="002B16A4">
        <w:rPr>
          <w:rFonts w:ascii="Trebuchet MS" w:hAnsi="Trebuchet MS" w:cs="Trebuchet MS"/>
          <w:b/>
          <w:bCs/>
          <w:color w:val="000000" w:themeColor="text1"/>
        </w:rPr>
        <w:t>“Dezvoltarea infrastructurii şi serviciilor de bază în teritoriul GAL”</w:t>
      </w:r>
    </w:p>
    <w:p w14:paraId="065DB11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535FF8E1"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Tipul măsurii: X INVESTIȚII </w:t>
      </w:r>
    </w:p>
    <w:p w14:paraId="23DB9FB0" w14:textId="77777777" w:rsidR="00451385" w:rsidRPr="002B16A4" w:rsidRDefault="00451385" w:rsidP="00451385">
      <w:pPr>
        <w:autoSpaceDE w:val="0"/>
        <w:autoSpaceDN w:val="0"/>
        <w:adjustRightInd w:val="0"/>
        <w:spacing w:after="0"/>
        <w:ind w:left="720"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 </w:t>
      </w:r>
      <w:r w:rsidRPr="002B16A4">
        <w:rPr>
          <w:rFonts w:ascii="Trebuchet MS" w:eastAsia="Calibri" w:hAnsi="Trebuchet MS" w:cs="Trebuchet MS"/>
          <w:b/>
          <w:bCs/>
          <w:color w:val="000000" w:themeColor="text1"/>
        </w:rPr>
        <w:t xml:space="preserve">□ </w:t>
      </w:r>
      <w:r w:rsidRPr="002B16A4">
        <w:rPr>
          <w:rFonts w:ascii="Trebuchet MS" w:hAnsi="Trebuchet MS" w:cs="Trebuchet MS"/>
          <w:b/>
          <w:bCs/>
          <w:color w:val="000000" w:themeColor="text1"/>
        </w:rPr>
        <w:t xml:space="preserve">  SERVICII </w:t>
      </w:r>
    </w:p>
    <w:p w14:paraId="3B89F582" w14:textId="77777777" w:rsidR="00451385" w:rsidRPr="002B16A4" w:rsidRDefault="00451385" w:rsidP="00451385">
      <w:pPr>
        <w:autoSpaceDE w:val="0"/>
        <w:autoSpaceDN w:val="0"/>
        <w:adjustRightInd w:val="0"/>
        <w:spacing w:after="0"/>
        <w:ind w:left="720"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 SPRIJIN FORFETAR </w:t>
      </w:r>
    </w:p>
    <w:p w14:paraId="369C5C83"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2795D0BA" w14:textId="77777777" w:rsidR="00451385" w:rsidRPr="002B16A4" w:rsidRDefault="00451385" w:rsidP="00451385">
      <w:pPr>
        <w:numPr>
          <w:ilvl w:val="0"/>
          <w:numId w:val="4"/>
        </w:num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39753FD2" w14:textId="77777777" w:rsidR="00451385" w:rsidRPr="002B16A4" w:rsidRDefault="00451385" w:rsidP="00451385">
      <w:pPr>
        <w:autoSpaceDE w:val="0"/>
        <w:autoSpaceDN w:val="0"/>
        <w:adjustRightInd w:val="0"/>
        <w:spacing w:after="0"/>
        <w:ind w:left="720"/>
        <w:jc w:val="both"/>
        <w:rPr>
          <w:rFonts w:ascii="Trebuchet MS" w:hAnsi="Trebuchet MS" w:cs="Trebuchet MS"/>
          <w:color w:val="000000" w:themeColor="text1"/>
        </w:rPr>
      </w:pPr>
    </w:p>
    <w:p w14:paraId="621E235E" w14:textId="77777777" w:rsidR="00451385" w:rsidRPr="002B16A4" w:rsidRDefault="00451385" w:rsidP="00451385">
      <w:pPr>
        <w:autoSpaceDE w:val="0"/>
        <w:autoSpaceDN w:val="0"/>
        <w:adjustRightInd w:val="0"/>
        <w:spacing w:after="0"/>
        <w:ind w:firstLine="360"/>
        <w:jc w:val="both"/>
        <w:rPr>
          <w:rFonts w:ascii="Trebuchet MS" w:hAnsi="Trebuchet MS" w:cs="Trebuchet MS"/>
          <w:color w:val="000000" w:themeColor="text1"/>
        </w:rPr>
      </w:pPr>
      <w:r w:rsidRPr="002B16A4">
        <w:rPr>
          <w:rFonts w:ascii="Trebuchet MS" w:hAnsi="Trebuchet MS" w:cs="Trebuchet MS"/>
          <w:color w:val="000000" w:themeColor="text1"/>
        </w:rPr>
        <w:t>GAL “Colinele Prahovei” îşi desfăşoară activitatea pe teritoriul a 13 comune şi un oraş, aflate în partea Central – Vestică a judeţului Prahova. Partenerii publici reprezintă 28,57% din totalul membrilor GAL, iar în urma întâlnirilor de animare-consultare publică, la care au fost prezenţi şi reprezentanţii comunelor respectiv oraşului, s-au identificat o serie de necesităţi ale acestora. Nevoile identificate pe teren sunt susţinute şi de puncte concrete din analiza datelor (analiza diagnostic şi SWOT). Din aceste analize şi nevoi identificate a rezultat necesitatea unei măsuri de infrastructură la scară mică, care să resolve micile problem generate de nivelul sărăciei, modernizarea sistemului de iluminat stradal (ajutat şi de oportunitatea iluminatului cu led), de monitorizare a activităţii localităţilor (în special pentru împiedicarea aruncării gunoaielor în locuri publice), dar şi de dotare a diferitelor servicii din cadrul primăriilor.</w:t>
      </w:r>
    </w:p>
    <w:p w14:paraId="393FC350" w14:textId="77777777" w:rsidR="00451385" w:rsidRPr="002B16A4" w:rsidRDefault="00451385" w:rsidP="00451385">
      <w:pPr>
        <w:autoSpaceDE w:val="0"/>
        <w:autoSpaceDN w:val="0"/>
        <w:adjustRightInd w:val="0"/>
        <w:spacing w:after="0"/>
        <w:ind w:firstLine="360"/>
        <w:jc w:val="both"/>
        <w:rPr>
          <w:rFonts w:ascii="Trebuchet MS" w:hAnsi="Trebuchet MS" w:cs="Trebuchet MS"/>
          <w:color w:val="000000" w:themeColor="text1"/>
        </w:rPr>
      </w:pPr>
    </w:p>
    <w:tbl>
      <w:tblPr>
        <w:tblW w:w="5000" w:type="pct"/>
        <w:tblCellMar>
          <w:left w:w="0" w:type="dxa"/>
          <w:right w:w="0" w:type="dxa"/>
        </w:tblCellMar>
        <w:tblLook w:val="0000" w:firstRow="0" w:lastRow="0" w:firstColumn="0" w:lastColumn="0" w:noHBand="0" w:noVBand="0"/>
      </w:tblPr>
      <w:tblGrid>
        <w:gridCol w:w="9010"/>
      </w:tblGrid>
      <w:tr w:rsidR="00451385" w:rsidRPr="002B16A4" w14:paraId="0C169331" w14:textId="77777777" w:rsidTr="003A26A2">
        <w:tc>
          <w:tcPr>
            <w:tcW w:w="9990" w:type="dxa"/>
            <w:tcBorders>
              <w:top w:val="single" w:sz="6" w:space="0" w:color="FFFFFF"/>
              <w:left w:val="single" w:sz="6" w:space="0" w:color="FFFFFF"/>
              <w:bottom w:val="single" w:sz="6" w:space="0" w:color="FFFFFF"/>
              <w:right w:val="single" w:sz="6" w:space="0" w:color="FFFFFF"/>
            </w:tcBorders>
            <w:shd w:val="clear" w:color="auto" w:fill="FFFFFF"/>
          </w:tcPr>
          <w:p w14:paraId="5E3498B2" w14:textId="77777777" w:rsidR="00451385" w:rsidRPr="002B16A4" w:rsidRDefault="00451385" w:rsidP="003A26A2">
            <w:pPr>
              <w:autoSpaceDE w:val="0"/>
              <w:autoSpaceDN w:val="0"/>
              <w:adjustRightInd w:val="0"/>
              <w:spacing w:after="0"/>
              <w:jc w:val="both"/>
              <w:rPr>
                <w:rFonts w:ascii="Trebuchet MS" w:hAnsi="Trebuchet MS" w:cs="Trebuchet MS"/>
                <w:b/>
                <w:color w:val="000000" w:themeColor="text1"/>
              </w:rPr>
            </w:pPr>
            <w:r w:rsidRPr="002B16A4">
              <w:rPr>
                <w:rFonts w:ascii="Trebuchet MS" w:hAnsi="Trebuchet MS" w:cs="Trebuchet MS"/>
                <w:b/>
                <w:bCs/>
                <w:color w:val="000000" w:themeColor="text1"/>
              </w:rPr>
              <w:t>Obiectiv(e) de dezvoltare rurală</w:t>
            </w:r>
            <w:r w:rsidRPr="002B16A4">
              <w:rPr>
                <w:rFonts w:ascii="Trebuchet MS" w:hAnsi="Trebuchet MS" w:cs="Trebuchet MS"/>
                <w:b/>
                <w:color w:val="000000" w:themeColor="text1"/>
              </w:rPr>
              <w:t xml:space="preserve">: </w:t>
            </w:r>
          </w:p>
          <w:p w14:paraId="22D2CD31"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eastAsia="Calibri" w:hAnsi="Trebuchet MS" w:cs="Trebuchet MS"/>
                <w:color w:val="000000" w:themeColor="text1"/>
              </w:rPr>
              <w:t>c)obținerea unei dezvoltări teritoriale echilibrate a economiilor și comunităților rurale, inclusiv crearea și menținerea de locuri de muncă ;</w:t>
            </w:r>
          </w:p>
        </w:tc>
      </w:tr>
    </w:tbl>
    <w:p w14:paraId="59196FB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3FE023DD"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Obiectiv(e) specific(e) al(e) măsurii : </w:t>
      </w:r>
    </w:p>
    <w:p w14:paraId="14CCA157" w14:textId="77777777" w:rsidR="00451385" w:rsidRPr="002B16A4" w:rsidRDefault="00451385" w:rsidP="00451385">
      <w:pPr>
        <w:numPr>
          <w:ilvl w:val="0"/>
          <w:numId w:val="8"/>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Modernizarea a 14 UAT-uri din judeţul Prahova</w:t>
      </w:r>
    </w:p>
    <w:p w14:paraId="09564819" w14:textId="77777777" w:rsidR="00451385" w:rsidRPr="002B16A4" w:rsidRDefault="00451385" w:rsidP="00451385">
      <w:pPr>
        <w:numPr>
          <w:ilvl w:val="0"/>
          <w:numId w:val="8"/>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Amenajarea a minim un spaţiu pentru grătare în teritoriul GAL</w:t>
      </w:r>
    </w:p>
    <w:p w14:paraId="4E18911E" w14:textId="77777777" w:rsidR="00451385" w:rsidRPr="002B16A4" w:rsidRDefault="00451385" w:rsidP="00451385">
      <w:pPr>
        <w:numPr>
          <w:ilvl w:val="0"/>
          <w:numId w:val="8"/>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Îmbunătăţirea condiţiilor de trai pentru teritoriul GAL şi stoparea fenomenului de depopulare din mediul rural prin reducerea decalajelor rural-urban;</w:t>
      </w:r>
    </w:p>
    <w:p w14:paraId="1F8401EB" w14:textId="77777777" w:rsidR="00451385" w:rsidRPr="002B16A4" w:rsidRDefault="00451385" w:rsidP="00451385">
      <w:pPr>
        <w:autoSpaceDE w:val="0"/>
        <w:autoSpaceDN w:val="0"/>
        <w:adjustRightInd w:val="0"/>
        <w:spacing w:after="0"/>
        <w:ind w:left="360"/>
        <w:jc w:val="both"/>
        <w:rPr>
          <w:rFonts w:ascii="Trebuchet MS" w:hAnsi="Trebuchet MS" w:cs="Trebuchet MS"/>
          <w:color w:val="000000" w:themeColor="text1"/>
        </w:rPr>
      </w:pPr>
    </w:p>
    <w:p w14:paraId="264A5BEE"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b/>
          <w:bCs/>
          <w:color w:val="000000" w:themeColor="text1"/>
        </w:rPr>
        <w:t>Măsura contribuie la prioritatea</w:t>
      </w:r>
      <w:r w:rsidRPr="002B16A4">
        <w:rPr>
          <w:rFonts w:ascii="Trebuchet MS" w:hAnsi="Trebuchet MS" w:cs="Trebuchet MS"/>
          <w:color w:val="000000" w:themeColor="text1"/>
        </w:rPr>
        <w:t xml:space="preserve"> prevăzuta la art. 5, Reg. (UE) nr. 1305/2013 </w:t>
      </w:r>
    </w:p>
    <w:p w14:paraId="0DB57ED9" w14:textId="77777777" w:rsidR="00451385" w:rsidRPr="002B16A4" w:rsidRDefault="00451385" w:rsidP="00451385">
      <w:pPr>
        <w:autoSpaceDE w:val="0"/>
        <w:autoSpaceDN w:val="0"/>
        <w:adjustRightInd w:val="0"/>
        <w:spacing w:after="0"/>
        <w:ind w:firstLine="720"/>
        <w:jc w:val="both"/>
        <w:rPr>
          <w:rFonts w:ascii="Trebuchet MS" w:hAnsi="Trebuchet MS" w:cs="Trebuchet MS"/>
          <w:color w:val="000000" w:themeColor="text1"/>
        </w:rPr>
      </w:pPr>
      <w:r w:rsidRPr="002B16A4">
        <w:rPr>
          <w:rFonts w:ascii="Trebuchet MS" w:hAnsi="Trebuchet MS" w:cs="Trebuchet MS"/>
          <w:color w:val="000000" w:themeColor="text1"/>
        </w:rPr>
        <w:t>- Promovarea incluziunii sociale, reducerea sărăciei şi dezvoltare economică în zonele rurale (P6).</w:t>
      </w:r>
    </w:p>
    <w:p w14:paraId="06D005F4"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b/>
          <w:bCs/>
          <w:color w:val="000000" w:themeColor="text1"/>
        </w:rPr>
        <w:t>Măsura corespunde obiectivelor</w:t>
      </w:r>
      <w:r w:rsidRPr="002B16A4">
        <w:rPr>
          <w:rFonts w:ascii="Trebuchet MS" w:hAnsi="Trebuchet MS" w:cs="Trebuchet MS"/>
          <w:color w:val="000000" w:themeColor="text1"/>
        </w:rPr>
        <w:t xml:space="preserve"> art. 20 din Reg. (UE) nr. 1305/2013.</w:t>
      </w:r>
    </w:p>
    <w:p w14:paraId="7581212D"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Măsura contribuie la Domeniul de intervenție :</w:t>
      </w:r>
    </w:p>
    <w:p w14:paraId="75E2BCBF"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6B - Încurajarea dezvoltării locale în zonele rurale</w:t>
      </w:r>
    </w:p>
    <w:p w14:paraId="166FDFE7"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b/>
          <w:bCs/>
          <w:color w:val="000000" w:themeColor="text1"/>
        </w:rPr>
        <w:t>Măsura contribuie la obiectivele transversale</w:t>
      </w:r>
      <w:r w:rsidRPr="002B16A4">
        <w:rPr>
          <w:rFonts w:ascii="Trebuchet MS" w:hAnsi="Trebuchet MS" w:cs="Trebuchet MS"/>
          <w:color w:val="000000" w:themeColor="text1"/>
        </w:rPr>
        <w:t xml:space="preserve"> ale Reg. (UE) nr. 1305/2013: Inovare ( O infrastructură îmbunătăţită permite afacerilor din mediul rural să se dezvolte şi încurajează spiritul antreprenor şi inovator. Domeniul IT este în esenţă unul innovator) şi mediu ( prin modernizările şi dotările clădirilor, dar şi prin amenajarea spaţiilor pentru grătare şi pieţe, se reduc cantităţile de deşeuri)</w:t>
      </w:r>
    </w:p>
    <w:p w14:paraId="5CED65C7"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color w:val="000000" w:themeColor="text1"/>
        </w:rPr>
        <w:t xml:space="preserve"> </w:t>
      </w:r>
      <w:r w:rsidRPr="002B16A4">
        <w:rPr>
          <w:rFonts w:ascii="Trebuchet MS" w:hAnsi="Trebuchet MS" w:cs="Trebuchet MS"/>
          <w:b/>
          <w:bCs/>
          <w:color w:val="000000" w:themeColor="text1"/>
        </w:rPr>
        <w:t>Complementaritatea cu alte măsuri din SDL:</w:t>
      </w:r>
    </w:p>
    <w:p w14:paraId="1A665A5D" w14:textId="77777777" w:rsidR="00451385" w:rsidRPr="002B16A4" w:rsidRDefault="00451385" w:rsidP="00451385">
      <w:pPr>
        <w:numPr>
          <w:ilvl w:val="0"/>
          <w:numId w:val="3"/>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M8/6B – “Dezvoltarea infrastructurii sociale in teritoriul GAL”</w:t>
      </w:r>
    </w:p>
    <w:p w14:paraId="63A557CE"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p>
    <w:p w14:paraId="5926789D"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lastRenderedPageBreak/>
        <w:t xml:space="preserve">Sinergia cu alte măsuri din SDL: </w:t>
      </w:r>
    </w:p>
    <w:p w14:paraId="33EE05C3" w14:textId="77777777" w:rsidR="00451385" w:rsidRPr="002B16A4" w:rsidRDefault="00451385" w:rsidP="00451385">
      <w:pPr>
        <w:numPr>
          <w:ilvl w:val="0"/>
          <w:numId w:val="9"/>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M8/6B – “Dezvoltarea infrastructurii sociale im teritoriul GAL”</w:t>
      </w:r>
    </w:p>
    <w:p w14:paraId="4D5FE4CD" w14:textId="77777777" w:rsidR="00451385" w:rsidRPr="002B16A4" w:rsidRDefault="00451385" w:rsidP="00451385">
      <w:pPr>
        <w:numPr>
          <w:ilvl w:val="0"/>
          <w:numId w:val="9"/>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M6/6B – “Încurajarea activităţilor recreative şi competitive în teritoriul GAL”</w:t>
      </w:r>
    </w:p>
    <w:p w14:paraId="72D979F1" w14:textId="77777777" w:rsidR="00451385" w:rsidRPr="002B16A4" w:rsidRDefault="00451385" w:rsidP="00451385">
      <w:pPr>
        <w:numPr>
          <w:ilvl w:val="0"/>
          <w:numId w:val="9"/>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M5/6A – “Sprijin pentru diversificarea activităţilor non-agricole în teritoriul GAL”</w:t>
      </w:r>
    </w:p>
    <w:p w14:paraId="1C27FADA" w14:textId="77777777" w:rsidR="00451385" w:rsidRPr="002B16A4" w:rsidRDefault="00451385" w:rsidP="00451385">
      <w:pPr>
        <w:numPr>
          <w:ilvl w:val="0"/>
          <w:numId w:val="9"/>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M4/6A – “Dezvoltarea activităţilor nonagricole în teritoriul GAL”</w:t>
      </w:r>
    </w:p>
    <w:p w14:paraId="44CF510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6064D049"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2. Valoarea adăugată a măsurii </w:t>
      </w:r>
    </w:p>
    <w:p w14:paraId="169770B1"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b/>
        <w:t>Valoarea adăugată a măsurii este dată în special de caracterul innovator al investiţiilor propuse, cum ar fi:</w:t>
      </w:r>
    </w:p>
    <w:p w14:paraId="4ACAE68E" w14:textId="77777777" w:rsidR="00451385" w:rsidRPr="002B16A4" w:rsidRDefault="00451385" w:rsidP="00451385">
      <w:pPr>
        <w:numPr>
          <w:ilvl w:val="0"/>
          <w:numId w:val="6"/>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Dotarea principalelor instituţii ale comunei;</w:t>
      </w:r>
    </w:p>
    <w:p w14:paraId="64FBAE86" w14:textId="77777777" w:rsidR="00451385" w:rsidRPr="002B16A4" w:rsidRDefault="00451385" w:rsidP="00451385">
      <w:pPr>
        <w:numPr>
          <w:ilvl w:val="0"/>
          <w:numId w:val="6"/>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Crearea de spaţii de grătare care să contribuie la încadrarea comunelor şi oraşelor în normele legale;</w:t>
      </w:r>
    </w:p>
    <w:p w14:paraId="26633BD3" w14:textId="77777777" w:rsidR="00451385" w:rsidRPr="002B16A4" w:rsidRDefault="00451385" w:rsidP="00451385">
      <w:pPr>
        <w:numPr>
          <w:ilvl w:val="0"/>
          <w:numId w:val="6"/>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Dotarea serviciilor din cadrul primăriilor;</w:t>
      </w:r>
    </w:p>
    <w:p w14:paraId="47FACBC5" w14:textId="77777777" w:rsidR="00451385" w:rsidRPr="002B16A4" w:rsidRDefault="00451385" w:rsidP="00451385">
      <w:pPr>
        <w:numPr>
          <w:ilvl w:val="0"/>
          <w:numId w:val="6"/>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Dotarea cu sisteme de monitorizare </w:t>
      </w:r>
    </w:p>
    <w:p w14:paraId="7B680E4B"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61F94942" w14:textId="77777777" w:rsidR="00451385" w:rsidRPr="002B16A4" w:rsidRDefault="00451385" w:rsidP="00451385">
      <w:pPr>
        <w:autoSpaceDE w:val="0"/>
        <w:autoSpaceDN w:val="0"/>
        <w:adjustRightInd w:val="0"/>
        <w:spacing w:after="0"/>
        <w:ind w:left="45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3.Trimiteri la alte acte legislative </w:t>
      </w:r>
    </w:p>
    <w:p w14:paraId="337C461D" w14:textId="77777777" w:rsidR="00451385" w:rsidRPr="002B16A4" w:rsidRDefault="00451385" w:rsidP="00451385">
      <w:pPr>
        <w:autoSpaceDE w:val="0"/>
        <w:autoSpaceDN w:val="0"/>
        <w:adjustRightInd w:val="0"/>
        <w:spacing w:after="0"/>
        <w:ind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t>Legislaţia europeană:</w:t>
      </w:r>
    </w:p>
    <w:p w14:paraId="419A97E8" w14:textId="77777777" w:rsidR="00451385" w:rsidRPr="002B16A4" w:rsidRDefault="00451385" w:rsidP="00451385">
      <w:pPr>
        <w:autoSpaceDE w:val="0"/>
        <w:autoSpaceDN w:val="0"/>
        <w:adjustRightInd w:val="0"/>
        <w:spacing w:after="0"/>
        <w:jc w:val="both"/>
        <w:rPr>
          <w:rFonts w:ascii="Trebuchet MS" w:hAnsi="Trebuchet MS" w:cs="Symbol"/>
          <w:b/>
          <w:noProof/>
          <w:color w:val="000000" w:themeColor="text1"/>
        </w:rPr>
      </w:pPr>
      <w:r w:rsidRPr="002B16A4">
        <w:rPr>
          <w:rFonts w:ascii="Trebuchet MS" w:hAnsi="Trebuchet MS" w:cs="Symbol"/>
          <w:b/>
          <w:noProof/>
          <w:color w:val="000000" w:themeColor="text1"/>
        </w:rPr>
        <w:sym w:font="Symbol" w:char="F0B7"/>
      </w:r>
      <w:r w:rsidRPr="002B16A4">
        <w:rPr>
          <w:rFonts w:ascii="Trebuchet MS" w:hAnsi="Trebuchet MS" w:cs="Symbol"/>
          <w:b/>
          <w:noProof/>
          <w:color w:val="000000" w:themeColor="text1"/>
        </w:rPr>
        <w:t xml:space="preserve"> Art.67 din Reg. UE 1303/2013,Reg(CE)1407/2013.</w:t>
      </w:r>
    </w:p>
    <w:p w14:paraId="62C28329" w14:textId="77777777" w:rsidR="00451385" w:rsidRPr="002B16A4" w:rsidRDefault="00451385" w:rsidP="00451385">
      <w:pPr>
        <w:autoSpaceDE w:val="0"/>
        <w:autoSpaceDN w:val="0"/>
        <w:adjustRightInd w:val="0"/>
        <w:spacing w:after="0"/>
        <w:jc w:val="both"/>
        <w:rPr>
          <w:rFonts w:ascii="Trebuchet MS" w:hAnsi="Trebuchet MS" w:cs="Trebuchet MS"/>
          <w:b/>
          <w:color w:val="000000" w:themeColor="text1"/>
        </w:rPr>
      </w:pPr>
      <w:r w:rsidRPr="002B16A4">
        <w:rPr>
          <w:rFonts w:ascii="Trebuchet MS" w:hAnsi="Trebuchet MS" w:cs="Symbol"/>
          <w:b/>
          <w:noProof/>
          <w:color w:val="000000" w:themeColor="text1"/>
        </w:rPr>
        <w:sym w:font="Symbol" w:char="F0B7"/>
      </w:r>
      <w:r w:rsidRPr="002B16A4">
        <w:rPr>
          <w:rFonts w:ascii="Trebuchet MS" w:hAnsi="Trebuchet MS" w:cs="Symbol"/>
          <w:b/>
          <w:noProof/>
          <w:color w:val="000000" w:themeColor="text1"/>
        </w:rPr>
        <w:t xml:space="preserve"> </w:t>
      </w:r>
      <w:r w:rsidRPr="002B16A4">
        <w:rPr>
          <w:rFonts w:ascii="Trebuchet MS" w:hAnsi="Trebuchet MS" w:cs="Trebuchet MS"/>
          <w:b/>
          <w:color w:val="000000" w:themeColor="text1"/>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5B2E9A9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w:t>
      </w: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14:paraId="25EDF690" w14:textId="77777777" w:rsidR="00451385" w:rsidRPr="002B16A4" w:rsidRDefault="00451385" w:rsidP="00451385">
      <w:pPr>
        <w:pStyle w:val="ListParagraph"/>
        <w:numPr>
          <w:ilvl w:val="0"/>
          <w:numId w:val="1"/>
        </w:num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t>Tratatul privind aderarea Republicii Bulgaria şi a României la Uniunea Europeană ratificat prin Legea nr. 157/2005;</w:t>
      </w:r>
    </w:p>
    <w:p w14:paraId="3518CC61"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13656574"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14:paraId="33F1E02B"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delegat (UE) nr. 1378/2014 al Comisiei de modificare a Anexei I la Reg. (UE) nr. 1305/2013 al Parlamentului European și al Consilului și a anexelor II și III la Reg. (UE) nr. 1307/2013 al Parlamentului European și al Consilului;</w:t>
      </w:r>
    </w:p>
    <w:p w14:paraId="6131A0F8"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lastRenderedPageBreak/>
        <w:sym w:font="Symbol" w:char="F0B7"/>
      </w:r>
      <w:r w:rsidRPr="002B16A4">
        <w:rPr>
          <w:rFonts w:ascii="Trebuchet MS" w:hAnsi="Trebuchet MS"/>
          <w:color w:val="000000" w:themeColor="text1"/>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14:paraId="47F931A5"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14:paraId="3DF261D4"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169FE885"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14:paraId="0FA7FC61"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de punere în aplicare (UE) nr. 908/2014 al Comisiei din 6 august 2014 de stabilire a normelor de aplicare a Regulamentului (UE) nr. 1306/2013.</w:t>
      </w:r>
    </w:p>
    <w:p w14:paraId="3A89C259"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 834/2014 al Comisiei de stabilire a normelor pentru aplicarea cadrului comun de monitorizare și evaluare a PAC;</w:t>
      </w:r>
    </w:p>
    <w:p w14:paraId="51F19125"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 1370/2013 al Consiliului din 16 decembrie 2013 privind măsuri pentru stabilirea anumitor ajutoare și restituții în legătură cu organizarea comună a piețelor produselor agricole;</w:t>
      </w:r>
    </w:p>
    <w:p w14:paraId="3B5A16DA"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14:paraId="0A2B7DF1"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Regulamentul (UE) nr.651/2014 al Comisiei din 17 iunie 2014 de declarare a anumitor categorii de ajutoare compatibile cu piaţa internă în aplicarea articolelor 107 şi 108 din Tratat;</w:t>
      </w:r>
    </w:p>
    <w:p w14:paraId="418B4ABC" w14:textId="77777777" w:rsidR="00451385" w:rsidRDefault="00451385" w:rsidP="00451385">
      <w:pPr>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14:paraId="17BEF361" w14:textId="77777777" w:rsidR="00451385" w:rsidRPr="00A13A69" w:rsidRDefault="00451385" w:rsidP="00451385">
      <w:pPr>
        <w:pStyle w:val="ListParagraph"/>
      </w:pPr>
      <w:r w:rsidRPr="009F1AF7">
        <w:rPr>
          <w:rFonts w:ascii="Tahoma" w:hAnsi="Tahoma" w:cs="Tahoma"/>
          <w:i/>
          <w:iCs/>
          <w:color w:val="000000"/>
        </w:rPr>
        <w:t>Regulamentul (UE) 2020/2094 al Consiliului din 14 decembrie 2020 de instituire a unui instrument de redresare al Uniunii Europene pentru a sprijini redresarea în urma crizei provocate de COVID-19.</w:t>
      </w:r>
    </w:p>
    <w:p w14:paraId="138B84FE" w14:textId="77777777" w:rsidR="00451385" w:rsidRPr="002B16A4" w:rsidRDefault="00451385" w:rsidP="00451385">
      <w:pPr>
        <w:autoSpaceDE w:val="0"/>
        <w:autoSpaceDN w:val="0"/>
        <w:adjustRightInd w:val="0"/>
        <w:spacing w:after="0"/>
        <w:ind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Legislaţia naţională: </w:t>
      </w:r>
    </w:p>
    <w:p w14:paraId="6A79B2F4"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59D31AB3"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Ordonanţa de Urgenţă a Guvernului nr. 49/2015 privind gestionarea financiară a fondurilor europene nerambursabile aferente politicii agricole comune, politicii comune de pescuit şi </w:t>
      </w:r>
      <w:r w:rsidRPr="002B16A4">
        <w:rPr>
          <w:rFonts w:ascii="Trebuchet MS" w:hAnsi="Trebuchet MS" w:cs="Trebuchet MS"/>
          <w:color w:val="000000" w:themeColor="text1"/>
        </w:rPr>
        <w:lastRenderedPageBreak/>
        <w:t>politicii maritime integrate la nivelul Uniunii Europene, precum şi a fondurilor alocate de la bugetul de stat pentru perioada de programare 2014-2020;</w:t>
      </w:r>
    </w:p>
    <w:p w14:paraId="12B419A0"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Ordonanța Guvernului nr. 26/2000 cu privire la asociaţii şi fundaţii, cu modificările şi completările ulterioare; </w:t>
      </w:r>
    </w:p>
    <w:p w14:paraId="2247C560"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Hotărârea Guvernului nr. 1185/2014 privind organizarea şi funcţionarea Ministerului Agriculturii şi Dezvoltării Rurale, cu modificările și completările ulterioare;</w:t>
      </w:r>
    </w:p>
    <w:p w14:paraId="366BBAD5"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Legea nr. 272/2004 privind protecția și promovarea drepturilor copilului, republicată;</w:t>
      </w:r>
    </w:p>
    <w:p w14:paraId="5DEB57BE"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Legea nr. 448/2006 privind protecţia şi promovarea drepturilor persoanelor cu handicap, republicată, cu modificările şi completările ulterioare; </w:t>
      </w:r>
    </w:p>
    <w:p w14:paraId="2891F01D"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Legea nr. 292/2011 a asistenței sociale, cu modificările și completările ulterioare; </w:t>
      </w:r>
    </w:p>
    <w:p w14:paraId="01B54515"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Legea nr. 197/2012 privind asigurarea calității în domeniul serviciilor sociale, cu modificările și completările ulterioare; </w:t>
      </w:r>
    </w:p>
    <w:p w14:paraId="2227E11E"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Legea nr. 219/2015 privind economia socială; </w:t>
      </w:r>
    </w:p>
    <w:p w14:paraId="6EF3EF00"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Ordonanța Guvernului nr. 68/2003 privind serviciile sociale, cu modificările și completările ulterioare; </w:t>
      </w:r>
    </w:p>
    <w:p w14:paraId="1F24BF33"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Hotărârea Guvernului nr. 268/2007 privind aprobarea Normelor metodologice de aplicare a prevederilor Legii nr. 448/2006 privind protecția și promovarea drepturilor persoanelor cu handicap, cu modificările și completările ulterioare; </w:t>
      </w:r>
    </w:p>
    <w:p w14:paraId="5FC7C617"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Hotărârea Guvernului nr. 118/2014 pentru aprobarea normelor metodologice de aplicare a prevederilor Legii nr.197/2012 privind asigurarea calității în domeniul serviciilor sociale;</w:t>
      </w:r>
    </w:p>
    <w:p w14:paraId="0E0753E6"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Hotărârea Guvernului nr. 383/2015 pentru aprobarea Strategiei Naționale privind incluziunea socială și reducerea sărăciei pentru perioada 2015-2020; </w:t>
      </w:r>
    </w:p>
    <w:p w14:paraId="4A2A557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Hotărârea Guvernului nr. 867/2015 pentru aprobarea Nomenclatorului serviciilor sociale, precum şi a regulamentelor-cadru de organizare şi funcţionare a serviciilor sociale; </w:t>
      </w:r>
    </w:p>
    <w:p w14:paraId="551E08A1"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14:paraId="7C3DE41F"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14:paraId="6D657F15"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14:paraId="69C93233"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Trebuchet MS"/>
          <w:color w:val="000000" w:themeColor="text1"/>
        </w:rPr>
        <w:t xml:space="preserve"> Ordinul ministrului muncii, familiei, protecţiei sociale şi persoanelor vârstnice nr. 424/2014 privind aprobarea criteriilor specifice care stau la baza acreditării furnizorilor de servicii sociale; </w:t>
      </w:r>
    </w:p>
    <w:p w14:paraId="6697CC2E"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w:t>
      </w:r>
      <w:r w:rsidRPr="002B16A4">
        <w:rPr>
          <w:rFonts w:ascii="Trebuchet MS" w:hAnsi="Trebuchet MS" w:cs="Trebuchet MS"/>
          <w:color w:val="000000" w:themeColor="text1"/>
        </w:rPr>
        <w:lastRenderedPageBreak/>
        <w:t xml:space="preserve">au părăsit sistemul de protecție a copilului și altor categorii de persoane adulte aflate în dificultate, precum și pentru serviciile acordate în comunitate, serviciilor acordate în sistem integrat și cantinelor sociale; </w:t>
      </w:r>
    </w:p>
    <w:p w14:paraId="6880F200"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s="Trebuchet MS"/>
          <w:color w:val="000000" w:themeColor="text1"/>
        </w:rPr>
        <w:sym w:font="Symbol" w:char="F0B7"/>
      </w:r>
      <w:r w:rsidRPr="002B16A4">
        <w:rPr>
          <w:rFonts w:ascii="Trebuchet MS" w:hAnsi="Trebuchet MS" w:cs="Trebuchet MS"/>
          <w:color w:val="000000" w:themeColor="text1"/>
        </w:rPr>
        <w:t xml:space="preserve"> </w:t>
      </w:r>
      <w:r w:rsidRPr="002B16A4">
        <w:rPr>
          <w:rFonts w:ascii="Trebuchet MS" w:hAnsi="Trebuchet MS"/>
          <w:b/>
          <w:bCs/>
          <w:color w:val="000000" w:themeColor="text1"/>
        </w:rPr>
        <w:t xml:space="preserve">Hotărârea Guvernului nr.30/2017 </w:t>
      </w:r>
      <w:r w:rsidRPr="002B16A4">
        <w:rPr>
          <w:rFonts w:ascii="Trebuchet MS" w:hAnsi="Trebuchet MS"/>
          <w:color w:val="000000" w:themeColor="text1"/>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35D0DC6B"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Acordul de delegare a sarcinilor legate de implementarea măsurilor din Programul Naţional de Dezvoltare Rurală 2014 – 2020 </w:t>
      </w:r>
      <w:r w:rsidRPr="002B16A4">
        <w:rPr>
          <w:rFonts w:ascii="Trebuchet MS" w:hAnsi="Trebuchet MS"/>
          <w:color w:val="000000" w:themeColor="text1"/>
        </w:rPr>
        <w:t>susţinute prin Fondul European Agricol pentru Dezvoltare Rurală și Bugetul de stat, încheiat între AM-PNDR și AFIR nr.78061/6960/2015-P99/26.02.2015;</w:t>
      </w:r>
    </w:p>
    <w:p w14:paraId="28A4B65C"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Ordonanța de urgență a Guvernului nr. 41/2014 </w:t>
      </w:r>
      <w:r w:rsidRPr="002B16A4">
        <w:rPr>
          <w:rFonts w:ascii="Trebuchet MS" w:hAnsi="Trebuchet MS"/>
          <w:color w:val="000000" w:themeColor="text1"/>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51F4B7D2"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Ordinul ministrului agriculturii și dezvoltării rurale nr. 862/2016 </w:t>
      </w:r>
      <w:r w:rsidRPr="002B16A4">
        <w:rPr>
          <w:rFonts w:ascii="Trebuchet MS" w:hAnsi="Trebuchet MS"/>
          <w:color w:val="000000" w:themeColor="text1"/>
        </w:rPr>
        <w:t>privind aprobarea structurii organizatorice și a Regulamentului de organizare şi funcţionare pentru Agenţia pentru Finanțarea Investițiilor Rurale;</w:t>
      </w:r>
    </w:p>
    <w:p w14:paraId="343CC94F"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Ordinul ministrului agriculturii și dezvoltării rurale nr. 1.571/2014 </w:t>
      </w:r>
      <w:r w:rsidRPr="002B16A4">
        <w:rPr>
          <w:rFonts w:ascii="Trebuchet MS" w:hAnsi="Trebuchet MS"/>
          <w:color w:val="000000" w:themeColor="text1"/>
        </w:rPr>
        <w:t>privind aprobarea Bazei de date cu preturi de referință pentru masini, utilaje si echipamente agricole specializate ce va fi utilizată în cadrul Programului Național de Dezvoltare Rurală, cu modificările și completările ulterioare;</w:t>
      </w:r>
    </w:p>
    <w:p w14:paraId="1B03A342" w14:textId="77777777" w:rsidR="00451385" w:rsidRPr="002B16A4" w:rsidRDefault="00451385" w:rsidP="00451385">
      <w:pPr>
        <w:autoSpaceDE w:val="0"/>
        <w:autoSpaceDN w:val="0"/>
        <w:adjustRightInd w:val="0"/>
        <w:spacing w:after="0"/>
        <w:jc w:val="both"/>
        <w:rPr>
          <w:rFonts w:ascii="Trebuchet MS" w:hAnsi="Trebuchet M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Ordinul ministrului agriculturii și dezvoltării rurale nr. 795/2015 </w:t>
      </w:r>
      <w:r w:rsidRPr="002B16A4">
        <w:rPr>
          <w:rFonts w:ascii="Trebuchet MS" w:hAnsi="Trebuchet MS"/>
          <w:color w:val="000000" w:themeColor="text1"/>
        </w:rPr>
        <w:t>pentru aprobarea manualelor de proceduri consolidate ale Agenţiei pentru Finanțarea Investițiilor Rurale aferente Programului Naţional de Dezvoltare Rurală 2014-2020, cu modificările și completările ulterioare;</w:t>
      </w:r>
    </w:p>
    <w:p w14:paraId="759AE05B" w14:textId="77777777" w:rsidR="00451385" w:rsidRPr="002B16A4" w:rsidRDefault="00451385" w:rsidP="00451385">
      <w:pPr>
        <w:autoSpaceDE w:val="0"/>
        <w:autoSpaceDN w:val="0"/>
        <w:adjustRightInd w:val="0"/>
        <w:spacing w:after="0"/>
        <w:jc w:val="both"/>
        <w:rPr>
          <w:rFonts w:ascii="Trebuchet MS" w:hAnsi="Trebuchet MS"/>
          <w:b/>
          <w:bCs/>
          <w:color w:val="000000" w:themeColor="text1"/>
        </w:rPr>
      </w:pPr>
      <w:r w:rsidRPr="002B16A4">
        <w:rPr>
          <w:rFonts w:ascii="Trebuchet MS" w:hAnsi="Trebuchet MS"/>
          <w:color w:val="000000" w:themeColor="text1"/>
        </w:rPr>
        <w:sym w:font="Symbol" w:char="F0B7"/>
      </w:r>
      <w:r w:rsidRPr="002B16A4">
        <w:rPr>
          <w:rFonts w:ascii="Trebuchet MS" w:hAnsi="Trebuchet MS"/>
          <w:color w:val="000000" w:themeColor="text1"/>
        </w:rPr>
        <w:t xml:space="preserve"> </w:t>
      </w:r>
      <w:r w:rsidRPr="002B16A4">
        <w:rPr>
          <w:rFonts w:ascii="Trebuchet MS" w:hAnsi="Trebuchet MS"/>
          <w:b/>
          <w:bCs/>
          <w:color w:val="000000" w:themeColor="text1"/>
        </w:rPr>
        <w:t xml:space="preserve">Legea nr. 98/2016 </w:t>
      </w:r>
      <w:r w:rsidRPr="002B16A4">
        <w:rPr>
          <w:rFonts w:ascii="Trebuchet MS" w:hAnsi="Trebuchet MS"/>
          <w:color w:val="000000" w:themeColor="text1"/>
        </w:rPr>
        <w:t>privind achiziţiile publice</w:t>
      </w:r>
      <w:r w:rsidRPr="002B16A4">
        <w:rPr>
          <w:rFonts w:ascii="Trebuchet MS" w:hAnsi="Trebuchet MS"/>
          <w:b/>
          <w:bCs/>
          <w:color w:val="000000" w:themeColor="text1"/>
        </w:rPr>
        <w:t>.</w:t>
      </w:r>
    </w:p>
    <w:p w14:paraId="519E0AE7"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b/>
          <w:bCs/>
          <w:color w:val="000000" w:themeColor="text1"/>
        </w:rPr>
        <w:sym w:font="Symbol" w:char="F0B7"/>
      </w:r>
      <w:r w:rsidRPr="002B16A4">
        <w:rPr>
          <w:rFonts w:ascii="Trebuchet MS" w:hAnsi="Trebuchet MS"/>
          <w:b/>
          <w:bCs/>
          <w:color w:val="000000" w:themeColor="text1"/>
        </w:rPr>
        <w:t xml:space="preserve"> Hotărârea Guvernului nr.395/2016 </w:t>
      </w:r>
      <w:r w:rsidRPr="002B16A4">
        <w:rPr>
          <w:rFonts w:ascii="Trebuchet MS" w:hAnsi="Trebuchet MS"/>
          <w:color w:val="000000" w:themeColor="text1"/>
        </w:rPr>
        <w:t>pentru aprobarea normelor metodologice de aplicare a prevederilor referitoare la atribuirea contractului de achiziţie publică/acordului-cadru din Legea nr. 98/2016 privind achiziţiile publice</w:t>
      </w:r>
      <w:r w:rsidRPr="002B16A4">
        <w:rPr>
          <w:rFonts w:ascii="Trebuchet MS" w:hAnsi="Trebuchet MS" w:cs="Trebuchet MS"/>
          <w:color w:val="000000" w:themeColor="text1"/>
        </w:rPr>
        <w:t>.</w:t>
      </w:r>
    </w:p>
    <w:p w14:paraId="371525E5"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415BA433" w14:textId="77777777" w:rsidR="00451385" w:rsidRPr="002B16A4" w:rsidRDefault="00451385" w:rsidP="00451385">
      <w:pPr>
        <w:autoSpaceDE w:val="0"/>
        <w:autoSpaceDN w:val="0"/>
        <w:adjustRightInd w:val="0"/>
        <w:spacing w:after="0"/>
        <w:ind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t>Alte documente:</w:t>
      </w:r>
    </w:p>
    <w:p w14:paraId="73B7027B"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Symbol"/>
          <w:noProof/>
          <w:color w:val="000000" w:themeColor="text1"/>
        </w:rPr>
        <w:sym w:font="Symbol" w:char="F0B7"/>
      </w:r>
      <w:r w:rsidRPr="002B16A4">
        <w:rPr>
          <w:rFonts w:ascii="Trebuchet MS" w:hAnsi="Trebuchet MS" w:cs="Symbol"/>
          <w:noProof/>
          <w:color w:val="000000" w:themeColor="text1"/>
        </w:rPr>
        <w:t xml:space="preserve"> </w:t>
      </w:r>
      <w:r w:rsidRPr="002B16A4">
        <w:rPr>
          <w:rFonts w:ascii="Trebuchet MS" w:hAnsi="Trebuchet MS" w:cs="Trebuchet MS"/>
          <w:color w:val="000000" w:themeColor="text1"/>
        </w:rPr>
        <w:t>Programul Operațional Capital Uman (POCU) 2014 – 2020 – Axa prioritară 5 – Obiectiv specific 5.2;</w:t>
      </w:r>
    </w:p>
    <w:p w14:paraId="4EE70D3D"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10F3ADDC"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4. Beneficiari direcți </w:t>
      </w:r>
    </w:p>
    <w:p w14:paraId="6F619C72"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Entități publice locale (Comune sau Oraşe) membre în GAL</w:t>
      </w:r>
    </w:p>
    <w:p w14:paraId="0EBBC537"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Beneficiari indirecţi:</w:t>
      </w:r>
    </w:p>
    <w:p w14:paraId="548995F0" w14:textId="77777777" w:rsidR="00451385" w:rsidRPr="002B16A4" w:rsidRDefault="00451385" w:rsidP="00451385">
      <w:pPr>
        <w:numPr>
          <w:ilvl w:val="0"/>
          <w:numId w:val="6"/>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Toţi locuitorii teritoriului GAL</w:t>
      </w:r>
    </w:p>
    <w:p w14:paraId="3D49F28D"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58EAE74F"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5. Tip de sprijin </w:t>
      </w:r>
    </w:p>
    <w:p w14:paraId="46B8A49B"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Rambursarea costurilor eligibile suportate și plătite efectiv </w:t>
      </w:r>
    </w:p>
    <w:p w14:paraId="348F9F28"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Plăți în avans, cu condiția constituirii unei garanții bancare sau a unei garanții echivalente corespunzătoare procentului de 100 % din valoarea avansului, în conformitate cu art. 45 (4) și art. 63 ale Reg. (UE) nr. 1305/2013. </w:t>
      </w:r>
    </w:p>
    <w:p w14:paraId="04D99B00"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2B1BFDD5"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6. Tipuri de acțiuni eligibile și neeligibile </w:t>
      </w:r>
    </w:p>
    <w:p w14:paraId="6BE59C02" w14:textId="77777777" w:rsidR="00451385" w:rsidRPr="002B16A4" w:rsidRDefault="00451385" w:rsidP="00451385">
      <w:pPr>
        <w:autoSpaceDE w:val="0"/>
        <w:autoSpaceDN w:val="0"/>
        <w:adjustRightInd w:val="0"/>
        <w:spacing w:after="0"/>
        <w:ind w:firstLine="720"/>
        <w:jc w:val="both"/>
        <w:rPr>
          <w:rFonts w:ascii="Trebuchet MS" w:hAnsi="Trebuchet MS" w:cs="Trebuchet MS"/>
          <w:b/>
          <w:bCs/>
          <w:color w:val="000000" w:themeColor="text1"/>
        </w:rPr>
      </w:pPr>
      <w:r w:rsidRPr="002B16A4">
        <w:rPr>
          <w:rFonts w:ascii="Trebuchet MS" w:hAnsi="Trebuchet MS" w:cs="Trebuchet MS"/>
          <w:b/>
          <w:bCs/>
          <w:color w:val="000000" w:themeColor="text1"/>
        </w:rPr>
        <w:lastRenderedPageBreak/>
        <w:t>Cheltuieli eligibile:</w:t>
      </w:r>
    </w:p>
    <w:p w14:paraId="629EEB71"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Achiziționarea sau cumpărarea prin leasing de mașini și echipamente noi – pentru serviciile publice </w:t>
      </w:r>
      <w:r>
        <w:rPr>
          <w:rFonts w:ascii="Trebuchet MS" w:hAnsi="Trebuchet MS" w:cs="Trebuchet MS"/>
          <w:color w:val="000000" w:themeColor="text1"/>
        </w:rPr>
        <w:t xml:space="preserve">si compartimentele </w:t>
      </w:r>
      <w:r w:rsidRPr="002B16A4">
        <w:rPr>
          <w:rFonts w:ascii="Trebuchet MS" w:hAnsi="Trebuchet MS" w:cs="Trebuchet MS"/>
          <w:color w:val="000000" w:themeColor="text1"/>
        </w:rPr>
        <w:t>din cadrul primăriilor (inclusiv pentru serviciul  - Situaţii de Urgenţă);</w:t>
      </w:r>
    </w:p>
    <w:p w14:paraId="05BB2B7E"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Achiziţia şi instalarea sistemelor de supraveghere video ;</w:t>
      </w:r>
    </w:p>
    <w:p w14:paraId="7880214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Iluminat public cu led ;</w:t>
      </w:r>
    </w:p>
    <w:p w14:paraId="668A0DA4"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Dotare grădiniţelor ;</w:t>
      </w:r>
    </w:p>
    <w:p w14:paraId="593A2CDC"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Amenajare şi/sau dotare terenuri de sport ;</w:t>
      </w:r>
    </w:p>
    <w:p w14:paraId="27D7DD6C"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-Dotare cămin cultural ;</w:t>
      </w:r>
    </w:p>
    <w:p w14:paraId="1F56487C"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-Achizitii necorporale (software, brevete, licenţe, drepturi de autor, mărci);</w:t>
      </w:r>
    </w:p>
    <w:p w14:paraId="4C278521"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-Amenajare, modernizare şi sau dotare pieţe de interes local;</w:t>
      </w:r>
    </w:p>
    <w:p w14:paraId="232B12CA"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-Amenajare, modernizare şi/sau dotare dispensare şi/sau clădiri cu destinaţie sanitară/sanitar-veterinara;</w:t>
      </w:r>
    </w:p>
    <w:p w14:paraId="467C9404"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Plăţile către arhitecţi/proiectanţi/consultant sau alte cheltuieli legate de managementul proiectului în limita de 5% pentru proiectele fără construcţii montaj sau 10% pentru cele cu construcţii montaj;</w:t>
      </w:r>
    </w:p>
    <w:p w14:paraId="344745FB"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Amenajare şi/sau dotare spaţii pentru activităţi recreative (inclusive spatii pentru grătare)</w:t>
      </w:r>
    </w:p>
    <w:p w14:paraId="2D547092"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-Amenajare /Modernizare Drumuri de interes local.</w:t>
      </w:r>
    </w:p>
    <w:p w14:paraId="1B6F6855" w14:textId="77777777" w:rsidR="00451385" w:rsidRDefault="00451385" w:rsidP="00451385">
      <w:pPr>
        <w:autoSpaceDE w:val="0"/>
        <w:autoSpaceDN w:val="0"/>
        <w:adjustRightInd w:val="0"/>
        <w:spacing w:after="0"/>
        <w:jc w:val="both"/>
        <w:rPr>
          <w:rFonts w:ascii="Trebuchet MS" w:eastAsia="Times New Roman" w:hAnsi="Trebuchet MS" w:cs="Times New Roman"/>
          <w:color w:val="000000" w:themeColor="text1"/>
          <w:szCs w:val="24"/>
          <w:lang w:val="it-CH"/>
        </w:rPr>
      </w:pPr>
      <w:r w:rsidRPr="002B16A4">
        <w:rPr>
          <w:rFonts w:ascii="Trebuchet MS" w:hAnsi="Trebuchet MS" w:cs="Trebuchet MS"/>
          <w:color w:val="000000" w:themeColor="text1"/>
        </w:rPr>
        <w:t xml:space="preserve">- </w:t>
      </w:r>
      <w:r w:rsidRPr="002B16A4">
        <w:rPr>
          <w:rFonts w:ascii="Trebuchet MS" w:eastAsia="Times New Roman" w:hAnsi="Trebuchet MS" w:cs="Times New Roman"/>
          <w:color w:val="000000" w:themeColor="text1"/>
          <w:szCs w:val="24"/>
          <w:lang w:val="it-CH"/>
        </w:rPr>
        <w:t xml:space="preserve">Extindere </w:t>
      </w:r>
      <w:r w:rsidRPr="002B16A4">
        <w:rPr>
          <w:rFonts w:ascii="Trebuchet MS" w:eastAsia="Times New Roman" w:hAnsi="Trebuchet MS" w:cs="Times New Roman"/>
          <w:color w:val="000000" w:themeColor="text1"/>
          <w:szCs w:val="24"/>
          <w:u w:val="single"/>
          <w:lang w:val="it-CH"/>
        </w:rPr>
        <w:t>si /sau</w:t>
      </w:r>
      <w:r w:rsidRPr="002B16A4">
        <w:rPr>
          <w:rFonts w:ascii="Trebuchet MS" w:eastAsia="Times New Roman" w:hAnsi="Trebuchet MS" w:cs="Times New Roman"/>
          <w:color w:val="000000" w:themeColor="text1"/>
          <w:szCs w:val="24"/>
          <w:lang w:val="it-CH"/>
        </w:rPr>
        <w:t xml:space="preserve"> modernizare si sau dotare a sediilor primariilor/cladirilor administrative care apartin UAT-urilor</w:t>
      </w:r>
    </w:p>
    <w:p w14:paraId="1C024FCF" w14:textId="77777777" w:rsidR="00451385" w:rsidRDefault="00451385" w:rsidP="00451385">
      <w:pPr>
        <w:autoSpaceDE w:val="0"/>
        <w:autoSpaceDN w:val="0"/>
        <w:adjustRightInd w:val="0"/>
        <w:jc w:val="both"/>
        <w:rPr>
          <w:rFonts w:ascii="Trebuchet MS" w:hAnsi="Trebuchet MS"/>
          <w:color w:val="000000" w:themeColor="text1"/>
          <w:lang w:val="it-CH"/>
        </w:rPr>
      </w:pPr>
      <w:r>
        <w:rPr>
          <w:rFonts w:ascii="Trebuchet MS" w:hAnsi="Trebuchet MS"/>
          <w:color w:val="000000" w:themeColor="text1"/>
          <w:lang w:val="it-CH"/>
        </w:rPr>
        <w:t>-Constrirea/Modernizarea trotuare, rigole, parcari si alei pietonale</w:t>
      </w:r>
    </w:p>
    <w:p w14:paraId="1FBC8441" w14:textId="77777777" w:rsidR="00451385" w:rsidRDefault="00451385" w:rsidP="00451385">
      <w:pPr>
        <w:autoSpaceDE w:val="0"/>
        <w:autoSpaceDN w:val="0"/>
        <w:adjustRightInd w:val="0"/>
        <w:jc w:val="both"/>
        <w:rPr>
          <w:rFonts w:ascii="Trebuchet MS" w:hAnsi="Trebuchet MS"/>
          <w:color w:val="000000" w:themeColor="text1"/>
          <w:lang w:val="it-CH"/>
        </w:rPr>
      </w:pPr>
      <w:r>
        <w:rPr>
          <w:rFonts w:ascii="Trebuchet MS" w:hAnsi="Trebuchet MS"/>
          <w:color w:val="000000" w:themeColor="text1"/>
          <w:lang w:val="it-CH"/>
        </w:rPr>
        <w:t>-Realizare statii de incarcare auto electrice</w:t>
      </w:r>
    </w:p>
    <w:p w14:paraId="1E2A731A" w14:textId="77777777" w:rsidR="00451385" w:rsidRDefault="00451385" w:rsidP="00451385">
      <w:pPr>
        <w:autoSpaceDE w:val="0"/>
        <w:autoSpaceDN w:val="0"/>
        <w:adjustRightInd w:val="0"/>
        <w:jc w:val="both"/>
        <w:rPr>
          <w:rFonts w:ascii="Trebuchet MS" w:hAnsi="Trebuchet MS"/>
          <w:color w:val="000000" w:themeColor="text1"/>
          <w:lang w:val="it-CH"/>
        </w:rPr>
      </w:pPr>
      <w:r>
        <w:rPr>
          <w:rFonts w:ascii="Trebuchet MS" w:hAnsi="Trebuchet MS"/>
          <w:color w:val="000000" w:themeColor="text1"/>
          <w:lang w:val="it-CH"/>
        </w:rPr>
        <w:t>-Constructie/Dotare/Modernizare piste de biciclete si/sau spatii de parcare pentru biciclete</w:t>
      </w:r>
    </w:p>
    <w:p w14:paraId="5D8E7CD8" w14:textId="77777777" w:rsidR="00451385" w:rsidRDefault="00451385" w:rsidP="00451385">
      <w:pPr>
        <w:autoSpaceDE w:val="0"/>
        <w:autoSpaceDN w:val="0"/>
        <w:adjustRightInd w:val="0"/>
        <w:jc w:val="both"/>
        <w:rPr>
          <w:rFonts w:ascii="Trebuchet MS" w:hAnsi="Trebuchet MS" w:cs="Trebuchet MS"/>
          <w:color w:val="000000" w:themeColor="text1"/>
        </w:rPr>
      </w:pPr>
      <w:r>
        <w:rPr>
          <w:rFonts w:ascii="Trebuchet MS" w:hAnsi="Trebuchet MS" w:cs="Trebuchet MS"/>
          <w:color w:val="000000" w:themeColor="text1"/>
        </w:rPr>
        <w:t>Actiuni eligibile din fondurile EURI:</w:t>
      </w:r>
    </w:p>
    <w:p w14:paraId="3E58407D" w14:textId="77777777" w:rsidR="00451385" w:rsidRPr="009F1AF7" w:rsidRDefault="00451385" w:rsidP="00451385">
      <w:pPr>
        <w:pStyle w:val="ListParagraph"/>
        <w:numPr>
          <w:ilvl w:val="0"/>
          <w:numId w:val="6"/>
        </w:numPr>
        <w:autoSpaceDE w:val="0"/>
        <w:autoSpaceDN w:val="0"/>
        <w:adjustRightInd w:val="0"/>
        <w:rPr>
          <w:rFonts w:ascii="Trebuchet MS" w:hAnsi="Trebuchet MS" w:cs="Trebuchet MS"/>
          <w:color w:val="000000" w:themeColor="text1"/>
        </w:rPr>
      </w:pPr>
      <w:r>
        <w:t>Art. 20, alin. (1), lit. b)_– _pentru investitii in infrastructura sociala</w:t>
      </w:r>
    </w:p>
    <w:p w14:paraId="5AAEC2F7" w14:textId="77777777" w:rsidR="00451385" w:rsidRPr="009F1AF7" w:rsidRDefault="00451385" w:rsidP="00451385">
      <w:pPr>
        <w:pStyle w:val="ListParagraph"/>
        <w:numPr>
          <w:ilvl w:val="0"/>
          <w:numId w:val="6"/>
        </w:numPr>
        <w:autoSpaceDE w:val="0"/>
        <w:autoSpaceDN w:val="0"/>
        <w:adjustRightInd w:val="0"/>
        <w:jc w:val="both"/>
        <w:rPr>
          <w:rFonts w:ascii="Trebuchet MS" w:hAnsi="Trebuchet MS" w:cs="Trebuchet MS"/>
          <w:color w:val="000000" w:themeColor="text1"/>
        </w:rPr>
      </w:pPr>
      <w:r>
        <w:t>Art. 20, alin. (1), lit. c) – pentru investiții în infrastructura de broadband și servicii de e-guvernare</w:t>
      </w:r>
    </w:p>
    <w:p w14:paraId="7D7A6979"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p>
    <w:p w14:paraId="5C2D4ECD" w14:textId="77777777" w:rsidR="00451385" w:rsidRPr="002B16A4" w:rsidRDefault="00451385" w:rsidP="00451385">
      <w:pPr>
        <w:autoSpaceDE w:val="0"/>
        <w:autoSpaceDN w:val="0"/>
        <w:adjustRightInd w:val="0"/>
        <w:spacing w:after="0"/>
        <w:ind w:firstLine="360"/>
        <w:jc w:val="both"/>
        <w:rPr>
          <w:rFonts w:ascii="Trebuchet MS" w:hAnsi="Trebuchet MS" w:cs="Trebuchet MS"/>
          <w:b/>
          <w:bCs/>
          <w:color w:val="000000" w:themeColor="text1"/>
        </w:rPr>
      </w:pPr>
      <w:r w:rsidRPr="002B16A4">
        <w:rPr>
          <w:rFonts w:ascii="Trebuchet MS" w:hAnsi="Trebuchet MS" w:cs="Trebuchet MS"/>
          <w:b/>
          <w:bCs/>
          <w:color w:val="000000" w:themeColor="text1"/>
        </w:rPr>
        <w:t>Cheltuieli neeligibile:</w:t>
      </w:r>
    </w:p>
    <w:p w14:paraId="5134F473"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Achiziţia de clădiri;</w:t>
      </w:r>
    </w:p>
    <w:p w14:paraId="7792C1C8"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Construcția și modernizarea locuinței;</w:t>
      </w:r>
    </w:p>
    <w:p w14:paraId="542105F9"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Cheltuielile cu achiziţionarea de bunuri și echipamente ”second hand”;</w:t>
      </w:r>
    </w:p>
    <w:p w14:paraId="11EF0617"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Cheltuieli efectuate înainte de  semnarea contractului de finanțare a proiectului cu excepţia: costurilor generale definite la art 45, alin 2 litera c) a R (UE) nr. 1305 / 2013 care pot fi realizate înainte de depunerea cererii de finanțare;</w:t>
      </w:r>
    </w:p>
    <w:p w14:paraId="19C951A9"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Cheltuieli cu achiziția mijloacelor de transport pentru uz personal şi pentru transport persoane;</w:t>
      </w:r>
    </w:p>
    <w:p w14:paraId="5B4E87CD"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Cheltuieli cu investițiile ce fac obiectul dublei finanțări care vizează aceleași costuri eligibile;</w:t>
      </w:r>
    </w:p>
    <w:p w14:paraId="6EBCA148"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În cazul contractelor de leasing, celelalte costuri legate de contractele de leasing, cum ar fi marja locatorului, costurile de refinanțare a dobânzilor, cheltuielile generale și cheltuielile de asigurare;</w:t>
      </w:r>
    </w:p>
    <w:p w14:paraId="558430E1" w14:textId="77777777" w:rsidR="00451385" w:rsidRPr="002B16A4" w:rsidRDefault="00451385" w:rsidP="00451385">
      <w:pPr>
        <w:numPr>
          <w:ilvl w:val="0"/>
          <w:numId w:val="2"/>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 Cheltuieli neeligibile în conformitate cu art. 69, alin (3) din R (UE) nr. 1303 / 2013 și anume;</w:t>
      </w:r>
    </w:p>
    <w:p w14:paraId="4B540CF7" w14:textId="77777777" w:rsidR="00451385" w:rsidRPr="002B16A4" w:rsidRDefault="00451385" w:rsidP="00451385">
      <w:pPr>
        <w:autoSpaceDE w:val="0"/>
        <w:autoSpaceDN w:val="0"/>
        <w:adjustRightInd w:val="0"/>
        <w:spacing w:after="0"/>
        <w:ind w:firstLine="360"/>
        <w:jc w:val="both"/>
        <w:rPr>
          <w:rFonts w:ascii="Trebuchet MS" w:hAnsi="Trebuchet MS" w:cs="Trebuchet MS"/>
          <w:color w:val="000000" w:themeColor="text1"/>
        </w:rPr>
      </w:pPr>
      <w:r w:rsidRPr="002B16A4">
        <w:rPr>
          <w:rFonts w:ascii="Trebuchet MS" w:hAnsi="Trebuchet MS" w:cs="Trebuchet MS"/>
          <w:color w:val="000000" w:themeColor="text1"/>
        </w:rPr>
        <w:lastRenderedPageBreak/>
        <w:t>-    Dobânzi debitoare, cu excepţia celor referitoare la granturi acordate sub forma unei subvenţii pentru dobândă sau a unei subvenţii pentru comisioanele de garantare;</w:t>
      </w:r>
    </w:p>
    <w:p w14:paraId="728248C7" w14:textId="77777777" w:rsidR="00451385" w:rsidRPr="002B16A4" w:rsidRDefault="00451385" w:rsidP="00451385">
      <w:pPr>
        <w:autoSpaceDE w:val="0"/>
        <w:autoSpaceDN w:val="0"/>
        <w:adjustRightInd w:val="0"/>
        <w:spacing w:after="0"/>
        <w:ind w:firstLine="360"/>
        <w:jc w:val="both"/>
        <w:rPr>
          <w:rFonts w:ascii="Trebuchet MS" w:hAnsi="Trebuchet MS" w:cs="Trebuchet MS"/>
          <w:color w:val="000000" w:themeColor="text1"/>
        </w:rPr>
      </w:pPr>
      <w:r w:rsidRPr="002B16A4">
        <w:rPr>
          <w:rFonts w:ascii="Trebuchet MS" w:hAnsi="Trebuchet MS" w:cs="Trebuchet MS"/>
          <w:color w:val="000000" w:themeColor="text1"/>
        </w:rPr>
        <w:t>-     Achiziţionarea de terenuri neconstruite şi de terenuri construite;</w:t>
      </w:r>
    </w:p>
    <w:p w14:paraId="0B2EED76" w14:textId="77777777" w:rsidR="00451385" w:rsidRPr="002B16A4" w:rsidRDefault="00451385" w:rsidP="00451385">
      <w:pPr>
        <w:autoSpaceDE w:val="0"/>
        <w:autoSpaceDN w:val="0"/>
        <w:adjustRightInd w:val="0"/>
        <w:spacing w:after="0"/>
        <w:ind w:firstLine="360"/>
        <w:jc w:val="both"/>
        <w:rPr>
          <w:rFonts w:ascii="Trebuchet MS" w:hAnsi="Trebuchet MS" w:cs="Trebuchet MS"/>
          <w:color w:val="000000" w:themeColor="text1"/>
        </w:rPr>
      </w:pPr>
      <w:r w:rsidRPr="002B16A4">
        <w:rPr>
          <w:rFonts w:ascii="Trebuchet MS" w:hAnsi="Trebuchet MS" w:cs="Trebuchet MS"/>
          <w:color w:val="000000" w:themeColor="text1"/>
        </w:rPr>
        <w:t>-   Taxa pe valoarea adăugată, cu excepţia cazului în care aceasta nu se poate recupera în temeiul legislaţiei naţionale privind TVA-ul sau a prevederilor specifice pentru instrumente financiare.</w:t>
      </w:r>
    </w:p>
    <w:p w14:paraId="22588263"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7. Condiții de eligibilitate </w:t>
      </w:r>
    </w:p>
    <w:p w14:paraId="388EE47C"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Solicitantul trebuie să se încadreze în categoria beneficiarilor eligibili;</w:t>
      </w:r>
    </w:p>
    <w:p w14:paraId="5CE03EB0"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Solicitantul trebie să se angajeze să se întreţinerea/mentenanţa investiţiei pe o perioadă de minim 5 ani de la ultima plata</w:t>
      </w:r>
    </w:p>
    <w:p w14:paraId="21D1D762"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Solicitantul trebuie să nu fie în insolventa sau incapacitate de plată;</w:t>
      </w:r>
    </w:p>
    <w:p w14:paraId="0A407E3B"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Investiţia trebuie să se încadreze în cel puţin unul din tipurile de sprijin prevăzute prin sub-masura</w:t>
      </w:r>
    </w:p>
    <w:p w14:paraId="673756AD"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Investiţia sa se realizeze în teritoriul GAL;</w:t>
      </w:r>
    </w:p>
    <w:p w14:paraId="5105225C"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Investiţia trebuie să fie în corelare cu orice strategie de dezvoltare naţională/regional/judeţeana/locală aprobată corespunzătoare domeniului de investiţii;</w:t>
      </w:r>
    </w:p>
    <w:p w14:paraId="4D03F265"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Investiţia trebuie să respecte Planul Urbanistic General;</w:t>
      </w:r>
    </w:p>
    <w:p w14:paraId="2B76F7C4" w14:textId="77777777" w:rsidR="00451385" w:rsidRPr="002B16A4" w:rsidRDefault="00451385" w:rsidP="00451385">
      <w:pPr>
        <w:numPr>
          <w:ilvl w:val="0"/>
          <w:numId w:val="7"/>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Investiţia trebuie să demonstreze necesitatea, oportunitatea şi potenţialul economic al acesteia;</w:t>
      </w:r>
    </w:p>
    <w:p w14:paraId="0E0BE356"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8. Criterii de selecție </w:t>
      </w:r>
    </w:p>
    <w:tbl>
      <w:tblPr>
        <w:tblW w:w="0" w:type="auto"/>
        <w:tblCellMar>
          <w:left w:w="105" w:type="dxa"/>
          <w:right w:w="105" w:type="dxa"/>
        </w:tblCellMar>
        <w:tblLook w:val="0000" w:firstRow="0" w:lastRow="0" w:firstColumn="0" w:lastColumn="0" w:noHBand="0" w:noVBand="0"/>
      </w:tblPr>
      <w:tblGrid>
        <w:gridCol w:w="779"/>
        <w:gridCol w:w="7272"/>
        <w:gridCol w:w="959"/>
      </w:tblGrid>
      <w:tr w:rsidR="00451385" w:rsidRPr="002B16A4" w14:paraId="300B5D78" w14:textId="77777777" w:rsidTr="003A26A2">
        <w:tc>
          <w:tcPr>
            <w:tcW w:w="780" w:type="dxa"/>
            <w:tcBorders>
              <w:top w:val="single" w:sz="6" w:space="0" w:color="000000"/>
              <w:left w:val="single" w:sz="6" w:space="0" w:color="000000"/>
              <w:bottom w:val="single" w:sz="6" w:space="0" w:color="000000"/>
              <w:right w:val="single" w:sz="6" w:space="0" w:color="000000"/>
            </w:tcBorders>
          </w:tcPr>
          <w:p w14:paraId="791D1881"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Nr. Crt</w:t>
            </w:r>
          </w:p>
        </w:tc>
        <w:tc>
          <w:tcPr>
            <w:tcW w:w="7290" w:type="dxa"/>
            <w:tcBorders>
              <w:top w:val="single" w:sz="6" w:space="0" w:color="000000"/>
              <w:left w:val="single" w:sz="6" w:space="0" w:color="000000"/>
              <w:bottom w:val="single" w:sz="6" w:space="0" w:color="000000"/>
              <w:right w:val="single" w:sz="6" w:space="0" w:color="000000"/>
            </w:tcBorders>
          </w:tcPr>
          <w:p w14:paraId="6C420AE4"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                                         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14:paraId="3CA8BA99"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p>
        </w:tc>
      </w:tr>
      <w:tr w:rsidR="00451385" w:rsidRPr="002B16A4" w14:paraId="5EFFAB17" w14:textId="77777777" w:rsidTr="003A26A2">
        <w:trPr>
          <w:trHeight w:val="285"/>
        </w:trPr>
        <w:tc>
          <w:tcPr>
            <w:tcW w:w="780" w:type="dxa"/>
            <w:tcBorders>
              <w:top w:val="single" w:sz="6" w:space="0" w:color="000000"/>
              <w:left w:val="single" w:sz="6" w:space="0" w:color="000000"/>
              <w:bottom w:val="single" w:sz="6" w:space="0" w:color="000000"/>
              <w:right w:val="single" w:sz="6" w:space="0" w:color="000000"/>
            </w:tcBorders>
          </w:tcPr>
          <w:p w14:paraId="3F0D8EEC"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1</w:t>
            </w:r>
          </w:p>
        </w:tc>
        <w:tc>
          <w:tcPr>
            <w:tcW w:w="7290" w:type="dxa"/>
            <w:tcBorders>
              <w:top w:val="single" w:sz="6" w:space="0" w:color="000000"/>
              <w:left w:val="single" w:sz="6" w:space="0" w:color="000000"/>
              <w:bottom w:val="single" w:sz="6" w:space="0" w:color="000000"/>
              <w:right w:val="single" w:sz="6" w:space="0" w:color="000000"/>
            </w:tcBorders>
          </w:tcPr>
          <w:p w14:paraId="0630D4C5"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Proiecte care deservesc localităţi cu o populație cât mai mare</w:t>
            </w:r>
          </w:p>
          <w:p w14:paraId="1A5F45A9"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Se consideră numărul total de locuitori ai comunei, conform recensământului populaţiei şi locuinţelor din anul 2011 – Rezultate finale</w:t>
            </w:r>
          </w:p>
          <w:p w14:paraId="540031CB"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1) Peste 6.499 -  </w:t>
            </w:r>
          </w:p>
          <w:p w14:paraId="26832AF0"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2) 5.500 – 6.499 -  </w:t>
            </w:r>
          </w:p>
          <w:p w14:paraId="11130C23"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3) 4.500 – 5.499 - </w:t>
            </w:r>
          </w:p>
          <w:p w14:paraId="22C5511D"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4) 3.500 – 4.499 - </w:t>
            </w:r>
          </w:p>
          <w:p w14:paraId="06C59A6F"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5) 2.500 – 3.499 - </w:t>
            </w:r>
          </w:p>
          <w:p w14:paraId="65C24015"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 xml:space="preserve">6) &lt;2.499 - </w:t>
            </w:r>
          </w:p>
        </w:tc>
        <w:tc>
          <w:tcPr>
            <w:tcW w:w="960" w:type="dxa"/>
            <w:tcBorders>
              <w:top w:val="single" w:sz="6" w:space="0" w:color="000000"/>
              <w:left w:val="single" w:sz="6" w:space="0" w:color="000000"/>
              <w:bottom w:val="single" w:sz="6" w:space="0" w:color="000000"/>
              <w:right w:val="single" w:sz="6" w:space="0" w:color="000000"/>
            </w:tcBorders>
          </w:tcPr>
          <w:p w14:paraId="68214277"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MAX </w:t>
            </w:r>
          </w:p>
        </w:tc>
      </w:tr>
      <w:tr w:rsidR="00451385" w:rsidRPr="002B16A4" w14:paraId="3F4BCC85" w14:textId="77777777" w:rsidTr="003A26A2">
        <w:tc>
          <w:tcPr>
            <w:tcW w:w="780" w:type="dxa"/>
            <w:tcBorders>
              <w:top w:val="single" w:sz="6" w:space="0" w:color="000000"/>
              <w:left w:val="single" w:sz="6" w:space="0" w:color="000000"/>
              <w:bottom w:val="single" w:sz="6" w:space="0" w:color="000000"/>
              <w:right w:val="single" w:sz="6" w:space="0" w:color="000000"/>
            </w:tcBorders>
          </w:tcPr>
          <w:p w14:paraId="115385B9"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2</w:t>
            </w:r>
          </w:p>
        </w:tc>
        <w:tc>
          <w:tcPr>
            <w:tcW w:w="7290" w:type="dxa"/>
            <w:tcBorders>
              <w:top w:val="single" w:sz="6" w:space="0" w:color="000000"/>
              <w:left w:val="single" w:sz="6" w:space="0" w:color="000000"/>
              <w:bottom w:val="single" w:sz="6" w:space="0" w:color="000000"/>
              <w:right w:val="single" w:sz="6" w:space="0" w:color="000000"/>
            </w:tcBorders>
          </w:tcPr>
          <w:p w14:paraId="4C3DC10E"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Gradul de dezvoltare socio‐economică a zonei</w:t>
            </w:r>
          </w:p>
          <w:p w14:paraId="78240E6C"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Se are în vedere ierarhia comunelor în funcție de potenţialul socio‐economic de dezvoltare al zonelor rurale</w:t>
            </w:r>
          </w:p>
          <w:p w14:paraId="1A4A4B5C"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coeficient comună</w:t>
            </w:r>
          </w:p>
          <w:p w14:paraId="2F39C125"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________________________ x Indice</w:t>
            </w:r>
          </w:p>
          <w:p w14:paraId="55B36F2C"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0.6648</w:t>
            </w:r>
          </w:p>
          <w:p w14:paraId="5FBCD6CE" w14:textId="77777777" w:rsidR="00451385" w:rsidRPr="002B16A4" w:rsidRDefault="00451385" w:rsidP="003A26A2">
            <w:pPr>
              <w:autoSpaceDE w:val="0"/>
              <w:autoSpaceDN w:val="0"/>
              <w:adjustRightInd w:val="0"/>
              <w:spacing w:after="0"/>
              <w:jc w:val="both"/>
              <w:rPr>
                <w:rFonts w:ascii="Trebuchet MS" w:hAnsi="Trebuchet MS" w:cs="Trebuchet MS"/>
                <w:b/>
                <w:bCs/>
                <w:i/>
                <w:iCs/>
                <w:color w:val="000000" w:themeColor="text1"/>
              </w:rPr>
            </w:pPr>
            <w:r w:rsidRPr="002B16A4">
              <w:rPr>
                <w:rFonts w:ascii="Trebuchet MS" w:hAnsi="Trebuchet MS" w:cs="Trebuchet MS"/>
                <w:b/>
                <w:bCs/>
                <w:i/>
                <w:iCs/>
                <w:color w:val="000000" w:themeColor="text1"/>
              </w:rPr>
              <w:t>Rezultatul va fi exprimat de un număr cu 4 zecimale</w:t>
            </w:r>
          </w:p>
        </w:tc>
        <w:tc>
          <w:tcPr>
            <w:tcW w:w="960" w:type="dxa"/>
            <w:tcBorders>
              <w:top w:val="single" w:sz="6" w:space="0" w:color="000000"/>
              <w:left w:val="single" w:sz="6" w:space="0" w:color="000000"/>
              <w:bottom w:val="single" w:sz="6" w:space="0" w:color="000000"/>
              <w:right w:val="single" w:sz="6" w:space="0" w:color="000000"/>
            </w:tcBorders>
          </w:tcPr>
          <w:p w14:paraId="6A898549"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MAX </w:t>
            </w:r>
          </w:p>
          <w:p w14:paraId="38CB234D"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p>
          <w:p w14:paraId="64161C62"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Indice</w:t>
            </w:r>
          </w:p>
        </w:tc>
      </w:tr>
      <w:tr w:rsidR="00451385" w:rsidRPr="002B16A4" w14:paraId="087FFAFF" w14:textId="77777777" w:rsidTr="003A26A2">
        <w:tc>
          <w:tcPr>
            <w:tcW w:w="780" w:type="dxa"/>
            <w:tcBorders>
              <w:top w:val="single" w:sz="6" w:space="0" w:color="000000"/>
              <w:left w:val="single" w:sz="6" w:space="0" w:color="000000"/>
              <w:bottom w:val="single" w:sz="6" w:space="0" w:color="000000"/>
              <w:right w:val="single" w:sz="6" w:space="0" w:color="000000"/>
            </w:tcBorders>
          </w:tcPr>
          <w:p w14:paraId="59F1D9E4"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3</w:t>
            </w:r>
          </w:p>
        </w:tc>
        <w:tc>
          <w:tcPr>
            <w:tcW w:w="7290" w:type="dxa"/>
            <w:tcBorders>
              <w:top w:val="single" w:sz="6" w:space="0" w:color="000000"/>
              <w:left w:val="single" w:sz="6" w:space="0" w:color="000000"/>
              <w:bottom w:val="single" w:sz="6" w:space="0" w:color="000000"/>
              <w:right w:val="single" w:sz="6" w:space="0" w:color="000000"/>
            </w:tcBorders>
          </w:tcPr>
          <w:p w14:paraId="2E40D5EC" w14:textId="77777777" w:rsidR="00451385" w:rsidRPr="002B16A4" w:rsidRDefault="00451385" w:rsidP="003A26A2">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Tipul investiţiei:</w:t>
            </w:r>
          </w:p>
          <w:p w14:paraId="085B8D43" w14:textId="77777777" w:rsidR="00451385" w:rsidRPr="002B16A4" w:rsidRDefault="00451385" w:rsidP="00451385">
            <w:pPr>
              <w:numPr>
                <w:ilvl w:val="0"/>
                <w:numId w:val="5"/>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Sisteme de monitorizare video</w:t>
            </w:r>
          </w:p>
          <w:p w14:paraId="3B47049A" w14:textId="77777777" w:rsidR="00451385" w:rsidRPr="002B16A4" w:rsidRDefault="00451385" w:rsidP="00451385">
            <w:pPr>
              <w:numPr>
                <w:ilvl w:val="0"/>
                <w:numId w:val="5"/>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Dotare servicii din cadrul Primăriei</w:t>
            </w:r>
          </w:p>
          <w:p w14:paraId="2E8869CE" w14:textId="77777777" w:rsidR="00451385" w:rsidRPr="002B16A4" w:rsidRDefault="00451385" w:rsidP="00451385">
            <w:pPr>
              <w:numPr>
                <w:ilvl w:val="0"/>
                <w:numId w:val="5"/>
              </w:num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Investiţii în iluminatul stradal cu led.</w:t>
            </w:r>
          </w:p>
        </w:tc>
        <w:tc>
          <w:tcPr>
            <w:tcW w:w="960" w:type="dxa"/>
            <w:tcBorders>
              <w:top w:val="single" w:sz="6" w:space="0" w:color="000000"/>
              <w:left w:val="single" w:sz="6" w:space="0" w:color="000000"/>
              <w:bottom w:val="single" w:sz="6" w:space="0" w:color="000000"/>
              <w:right w:val="single" w:sz="6" w:space="0" w:color="000000"/>
            </w:tcBorders>
          </w:tcPr>
          <w:p w14:paraId="424FBFDB" w14:textId="77777777" w:rsidR="00451385" w:rsidRPr="002B16A4" w:rsidRDefault="00451385" w:rsidP="003A26A2">
            <w:pPr>
              <w:autoSpaceDE w:val="0"/>
              <w:autoSpaceDN w:val="0"/>
              <w:adjustRightInd w:val="0"/>
              <w:spacing w:after="0"/>
              <w:jc w:val="both"/>
              <w:rPr>
                <w:rFonts w:ascii="Trebuchet MS" w:hAnsi="Trebuchet MS" w:cs="Trebuchet MS"/>
                <w:color w:val="000000" w:themeColor="text1"/>
              </w:rPr>
            </w:pPr>
          </w:p>
        </w:tc>
      </w:tr>
    </w:tbl>
    <w:p w14:paraId="30CCB239"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t xml:space="preserve">9. Sume (aplicabile) și rata sprijinului </w:t>
      </w:r>
    </w:p>
    <w:p w14:paraId="37DE0747"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Rata sprijinului este de 100% pentru proiectele negeneratoare de venit</w:t>
      </w:r>
    </w:p>
    <w:p w14:paraId="5BCA0F13" w14:textId="77777777" w:rsidR="00451385" w:rsidRPr="002B16A4" w:rsidRDefault="00451385" w:rsidP="00451385">
      <w:pPr>
        <w:autoSpaceDE w:val="0"/>
        <w:autoSpaceDN w:val="0"/>
        <w:adjustRightInd w:val="0"/>
        <w:spacing w:after="0"/>
        <w:jc w:val="both"/>
        <w:rPr>
          <w:rFonts w:ascii="Trebuchet MS" w:hAnsi="Trebuchet MS" w:cs="Trebuchet MS"/>
          <w:b/>
          <w:bCs/>
          <w:color w:val="000000" w:themeColor="text1"/>
        </w:rPr>
      </w:pPr>
      <w:r w:rsidRPr="002B16A4">
        <w:rPr>
          <w:rFonts w:ascii="Trebuchet MS" w:hAnsi="Trebuchet MS" w:cs="Trebuchet MS"/>
          <w:b/>
          <w:bCs/>
          <w:color w:val="000000" w:themeColor="text1"/>
        </w:rPr>
        <w:lastRenderedPageBreak/>
        <w:t xml:space="preserve">10. Indicatori de monitorizare </w:t>
      </w:r>
    </w:p>
    <w:p w14:paraId="71B13566" w14:textId="77777777" w:rsidR="00451385" w:rsidRPr="002B16A4"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Număr proiecte – 18</w:t>
      </w:r>
    </w:p>
    <w:p w14:paraId="365A80AB" w14:textId="77777777" w:rsidR="00451385" w:rsidRDefault="00451385" w:rsidP="00451385">
      <w:pPr>
        <w:autoSpaceDE w:val="0"/>
        <w:autoSpaceDN w:val="0"/>
        <w:adjustRightInd w:val="0"/>
        <w:spacing w:after="0"/>
        <w:jc w:val="both"/>
        <w:rPr>
          <w:rFonts w:ascii="Trebuchet MS" w:hAnsi="Trebuchet MS" w:cs="Trebuchet MS"/>
          <w:color w:val="000000" w:themeColor="text1"/>
        </w:rPr>
      </w:pPr>
      <w:r w:rsidRPr="002B16A4">
        <w:rPr>
          <w:rFonts w:ascii="Trebuchet MS" w:hAnsi="Trebuchet MS" w:cs="Trebuchet MS"/>
          <w:color w:val="000000" w:themeColor="text1"/>
        </w:rPr>
        <w:t>Populaţie deservită – întreg teritoriul GAL</w:t>
      </w:r>
    </w:p>
    <w:p w14:paraId="4906E847" w14:textId="77777777" w:rsidR="00451385" w:rsidRDefault="00451385" w:rsidP="00451385">
      <w:pPr>
        <w:autoSpaceDE w:val="0"/>
        <w:autoSpaceDN w:val="0"/>
        <w:adjustRightInd w:val="0"/>
        <w:spacing w:after="0"/>
        <w:jc w:val="both"/>
        <w:rPr>
          <w:rFonts w:ascii="Trebuchet MS" w:hAnsi="Trebuchet MS" w:cs="Trebuchet MS"/>
          <w:color w:val="000000" w:themeColor="text1"/>
        </w:rPr>
      </w:pPr>
    </w:p>
    <w:p w14:paraId="2909C290" w14:textId="77777777" w:rsidR="00451385" w:rsidRDefault="00451385" w:rsidP="00451385">
      <w:pPr>
        <w:autoSpaceDE w:val="0"/>
        <w:autoSpaceDN w:val="0"/>
        <w:adjustRightInd w:val="0"/>
        <w:jc w:val="both"/>
        <w:rPr>
          <w:rFonts w:ascii="Trebuchet MS" w:hAnsi="Trebuchet MS" w:cs="Trebuchet MS"/>
          <w:color w:val="000000" w:themeColor="text1"/>
        </w:rPr>
      </w:pPr>
      <w:r>
        <w:rPr>
          <w:rFonts w:ascii="Trebuchet MS" w:hAnsi="Trebuchet MS" w:cs="Trebuchet MS"/>
          <w:color w:val="000000" w:themeColor="text1"/>
        </w:rPr>
        <w:t>ALOCARE EURI 161.292,74 EURO</w:t>
      </w:r>
    </w:p>
    <w:p w14:paraId="7679CED3" w14:textId="77777777" w:rsidR="00451385" w:rsidRPr="00451385" w:rsidRDefault="00451385" w:rsidP="00451385">
      <w:pPr>
        <w:autoSpaceDE w:val="0"/>
        <w:autoSpaceDN w:val="0"/>
        <w:adjustRightInd w:val="0"/>
        <w:jc w:val="both"/>
        <w:rPr>
          <w:rFonts w:ascii="Trebuchet MS" w:hAnsi="Trebuchet MS" w:cs="Trebuchet MS"/>
          <w:color w:val="FF0000"/>
        </w:rPr>
      </w:pPr>
      <w:r>
        <w:rPr>
          <w:rFonts w:ascii="Trebuchet MS" w:hAnsi="Trebuchet MS" w:cs="Trebuchet MS"/>
          <w:color w:val="000000" w:themeColor="text1"/>
        </w:rPr>
        <w:t xml:space="preserve">ALOCARE FEADR </w:t>
      </w:r>
      <w:r w:rsidRPr="00451385">
        <w:rPr>
          <w:rFonts w:ascii="Trebuchet MS" w:hAnsi="Trebuchet MS" w:cs="Trebuchet MS"/>
          <w:color w:val="FF0000"/>
        </w:rPr>
        <w:t>1.773.070,15 EURO</w:t>
      </w:r>
    </w:p>
    <w:p w14:paraId="35FA5790" w14:textId="77777777" w:rsidR="00451385" w:rsidRDefault="00451385"/>
    <w:sectPr w:rsidR="0045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29173"/>
    <w:multiLevelType w:val="multilevel"/>
    <w:tmpl w:val="292E99E3"/>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4B942D7F"/>
    <w:multiLevelType w:val="hybridMultilevel"/>
    <w:tmpl w:val="BA3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46196"/>
    <w:multiLevelType w:val="multilevel"/>
    <w:tmpl w:val="3B1E8012"/>
    <w:lvl w:ilvl="0">
      <w:start w:val="1"/>
      <w:numFmt w:val="decimal"/>
      <w:lvlText w:val="%1."/>
      <w:lvlJc w:val="left"/>
      <w:pPr>
        <w:tabs>
          <w:tab w:val="num" w:pos="810"/>
        </w:tabs>
        <w:ind w:left="810" w:hanging="360"/>
      </w:pPr>
      <w:rPr>
        <w:rFonts w:ascii="Trebuchet MS" w:hAnsi="Trebuchet MS" w:cs="Times New Roman" w:hint="default"/>
        <w:b/>
        <w:bCs/>
        <w:sz w:val="22"/>
        <w:szCs w:val="22"/>
      </w:rPr>
    </w:lvl>
    <w:lvl w:ilvl="1">
      <w:start w:val="1"/>
      <w:numFmt w:val="lowerLetter"/>
      <w:lvlText w:val="%2."/>
      <w:lvlJc w:val="left"/>
      <w:pPr>
        <w:tabs>
          <w:tab w:val="num" w:pos="1530"/>
        </w:tabs>
        <w:ind w:left="1530" w:hanging="360"/>
      </w:pPr>
      <w:rPr>
        <w:rFonts w:ascii="Times New Roman" w:hAnsi="Times New Roman" w:cs="Times New Roman"/>
        <w:sz w:val="24"/>
        <w:szCs w:val="24"/>
      </w:rPr>
    </w:lvl>
    <w:lvl w:ilvl="2">
      <w:start w:val="1"/>
      <w:numFmt w:val="lowerRoman"/>
      <w:lvlText w:val="%3."/>
      <w:lvlJc w:val="right"/>
      <w:pPr>
        <w:tabs>
          <w:tab w:val="num" w:pos="2250"/>
        </w:tabs>
        <w:ind w:left="2250" w:hanging="180"/>
      </w:pPr>
      <w:rPr>
        <w:rFonts w:ascii="Times New Roman" w:hAnsi="Times New Roman" w:cs="Times New Roman"/>
        <w:sz w:val="24"/>
        <w:szCs w:val="24"/>
      </w:rPr>
    </w:lvl>
    <w:lvl w:ilvl="3">
      <w:start w:val="1"/>
      <w:numFmt w:val="decimal"/>
      <w:lvlText w:val="%4."/>
      <w:lvlJc w:val="left"/>
      <w:pPr>
        <w:tabs>
          <w:tab w:val="num" w:pos="2970"/>
        </w:tabs>
        <w:ind w:left="2970" w:hanging="360"/>
      </w:pPr>
      <w:rPr>
        <w:rFonts w:ascii="Times New Roman" w:hAnsi="Times New Roman" w:cs="Times New Roman"/>
        <w:sz w:val="24"/>
        <w:szCs w:val="24"/>
      </w:rPr>
    </w:lvl>
    <w:lvl w:ilvl="4">
      <w:start w:val="1"/>
      <w:numFmt w:val="lowerLetter"/>
      <w:lvlText w:val="%5."/>
      <w:lvlJc w:val="left"/>
      <w:pPr>
        <w:tabs>
          <w:tab w:val="num" w:pos="3690"/>
        </w:tabs>
        <w:ind w:left="3690" w:hanging="360"/>
      </w:pPr>
      <w:rPr>
        <w:rFonts w:ascii="Times New Roman" w:hAnsi="Times New Roman" w:cs="Times New Roman"/>
        <w:sz w:val="24"/>
        <w:szCs w:val="24"/>
      </w:rPr>
    </w:lvl>
    <w:lvl w:ilvl="5">
      <w:start w:val="1"/>
      <w:numFmt w:val="lowerRoman"/>
      <w:lvlText w:val="%6."/>
      <w:lvlJc w:val="right"/>
      <w:pPr>
        <w:tabs>
          <w:tab w:val="num" w:pos="4410"/>
        </w:tabs>
        <w:ind w:left="4410" w:hanging="180"/>
      </w:pPr>
      <w:rPr>
        <w:rFonts w:ascii="Times New Roman" w:hAnsi="Times New Roman" w:cs="Times New Roman"/>
        <w:sz w:val="24"/>
        <w:szCs w:val="24"/>
      </w:rPr>
    </w:lvl>
    <w:lvl w:ilvl="6">
      <w:start w:val="1"/>
      <w:numFmt w:val="decimal"/>
      <w:lvlText w:val="%7."/>
      <w:lvlJc w:val="left"/>
      <w:pPr>
        <w:tabs>
          <w:tab w:val="num" w:pos="5130"/>
        </w:tabs>
        <w:ind w:left="5130" w:hanging="360"/>
      </w:pPr>
      <w:rPr>
        <w:rFonts w:ascii="Times New Roman" w:hAnsi="Times New Roman" w:cs="Times New Roman"/>
        <w:sz w:val="24"/>
        <w:szCs w:val="24"/>
      </w:rPr>
    </w:lvl>
    <w:lvl w:ilvl="7">
      <w:start w:val="1"/>
      <w:numFmt w:val="lowerLetter"/>
      <w:lvlText w:val="%8."/>
      <w:lvlJc w:val="left"/>
      <w:pPr>
        <w:tabs>
          <w:tab w:val="num" w:pos="5850"/>
        </w:tabs>
        <w:ind w:left="5850" w:hanging="360"/>
      </w:pPr>
      <w:rPr>
        <w:rFonts w:ascii="Times New Roman" w:hAnsi="Times New Roman" w:cs="Times New Roman"/>
        <w:sz w:val="24"/>
        <w:szCs w:val="24"/>
      </w:rPr>
    </w:lvl>
    <w:lvl w:ilvl="8">
      <w:start w:val="1"/>
      <w:numFmt w:val="lowerRoman"/>
      <w:lvlText w:val="%9."/>
      <w:lvlJc w:val="right"/>
      <w:pPr>
        <w:tabs>
          <w:tab w:val="num" w:pos="6570"/>
        </w:tabs>
        <w:ind w:left="6570" w:hanging="180"/>
      </w:pPr>
      <w:rPr>
        <w:rFonts w:ascii="Times New Roman" w:hAnsi="Times New Roman" w:cs="Times New Roman"/>
        <w:sz w:val="24"/>
        <w:szCs w:val="24"/>
      </w:rPr>
    </w:lvl>
  </w:abstractNum>
  <w:abstractNum w:abstractNumId="3" w15:restartNumberingAfterBreak="0">
    <w:nsid w:val="6403072C"/>
    <w:multiLevelType w:val="multilevel"/>
    <w:tmpl w:val="6F054708"/>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649EF8C7"/>
    <w:multiLevelType w:val="multilevel"/>
    <w:tmpl w:val="3B209CB4"/>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673671B9"/>
    <w:multiLevelType w:val="multilevel"/>
    <w:tmpl w:val="CFFCA89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6AAF0138"/>
    <w:multiLevelType w:val="multilevel"/>
    <w:tmpl w:val="BAC22EFE"/>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532497869">
    <w:abstractNumId w:val="1"/>
  </w:num>
  <w:num w:numId="2" w16cid:durableId="1891846999">
    <w:abstractNumId w:val="7"/>
  </w:num>
  <w:num w:numId="3" w16cid:durableId="1179467425">
    <w:abstractNumId w:val="4"/>
  </w:num>
  <w:num w:numId="4" w16cid:durableId="223222106">
    <w:abstractNumId w:val="2"/>
  </w:num>
  <w:num w:numId="5" w16cid:durableId="236944604">
    <w:abstractNumId w:val="8"/>
  </w:num>
  <w:num w:numId="6" w16cid:durableId="192311488">
    <w:abstractNumId w:val="3"/>
  </w:num>
  <w:num w:numId="7" w16cid:durableId="2042168895">
    <w:abstractNumId w:val="0"/>
  </w:num>
  <w:num w:numId="8" w16cid:durableId="1665011602">
    <w:abstractNumId w:val="5"/>
  </w:num>
  <w:num w:numId="9" w16cid:durableId="123033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85"/>
    <w:rsid w:val="00451385"/>
    <w:rsid w:val="00E5336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EC13048"/>
  <w15:chartTrackingRefBased/>
  <w15:docId w15:val="{CF8E772B-455D-744F-8883-887B3C3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85"/>
    <w:pPr>
      <w:spacing w:after="200" w:line="276" w:lineRule="auto"/>
    </w:pPr>
    <w:rPr>
      <w:kern w:val="0"/>
      <w:sz w:val="22"/>
      <w:szCs w:val="22"/>
      <w:lang w:val="ro-RO"/>
      <w14:ligatures w14:val="none"/>
    </w:rPr>
  </w:style>
  <w:style w:type="paragraph" w:styleId="Heading1">
    <w:name w:val="heading 1"/>
    <w:basedOn w:val="Normal"/>
    <w:next w:val="Normal"/>
    <w:link w:val="Heading1Char"/>
    <w:uiPriority w:val="9"/>
    <w:qFormat/>
    <w:rsid w:val="00451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385"/>
    <w:rPr>
      <w:rFonts w:eastAsiaTheme="majorEastAsia" w:cstheme="majorBidi"/>
      <w:color w:val="272727" w:themeColor="text1" w:themeTint="D8"/>
    </w:rPr>
  </w:style>
  <w:style w:type="paragraph" w:styleId="Title">
    <w:name w:val="Title"/>
    <w:basedOn w:val="Normal"/>
    <w:next w:val="Normal"/>
    <w:link w:val="TitleChar"/>
    <w:uiPriority w:val="10"/>
    <w:qFormat/>
    <w:rsid w:val="00451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385"/>
    <w:pPr>
      <w:spacing w:before="160"/>
      <w:jc w:val="center"/>
    </w:pPr>
    <w:rPr>
      <w:i/>
      <w:iCs/>
      <w:color w:val="404040" w:themeColor="text1" w:themeTint="BF"/>
    </w:rPr>
  </w:style>
  <w:style w:type="character" w:customStyle="1" w:styleId="QuoteChar">
    <w:name w:val="Quote Char"/>
    <w:basedOn w:val="DefaultParagraphFont"/>
    <w:link w:val="Quote"/>
    <w:uiPriority w:val="29"/>
    <w:rsid w:val="00451385"/>
    <w:rPr>
      <w:i/>
      <w:iCs/>
      <w:color w:val="404040" w:themeColor="text1" w:themeTint="BF"/>
    </w:rPr>
  </w:style>
  <w:style w:type="paragraph" w:styleId="ListParagraph">
    <w:name w:val="List Paragraph"/>
    <w:aliases w:val="Antes de enumeración,body 2,List Paragraph1,Normal bullet 2,List Paragraph11,Listă colorată - Accentuare 11,Bullet,Citation List"/>
    <w:basedOn w:val="Normal"/>
    <w:link w:val="ListParagraphChar"/>
    <w:uiPriority w:val="34"/>
    <w:qFormat/>
    <w:rsid w:val="00451385"/>
    <w:pPr>
      <w:ind w:left="720"/>
      <w:contextualSpacing/>
    </w:pPr>
  </w:style>
  <w:style w:type="character" w:styleId="IntenseEmphasis">
    <w:name w:val="Intense Emphasis"/>
    <w:basedOn w:val="DefaultParagraphFont"/>
    <w:uiPriority w:val="21"/>
    <w:qFormat/>
    <w:rsid w:val="00451385"/>
    <w:rPr>
      <w:i/>
      <w:iCs/>
      <w:color w:val="0F4761" w:themeColor="accent1" w:themeShade="BF"/>
    </w:rPr>
  </w:style>
  <w:style w:type="paragraph" w:styleId="IntenseQuote">
    <w:name w:val="Intense Quote"/>
    <w:basedOn w:val="Normal"/>
    <w:next w:val="Normal"/>
    <w:link w:val="IntenseQuoteChar"/>
    <w:uiPriority w:val="30"/>
    <w:qFormat/>
    <w:rsid w:val="00451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385"/>
    <w:rPr>
      <w:i/>
      <w:iCs/>
      <w:color w:val="0F4761" w:themeColor="accent1" w:themeShade="BF"/>
    </w:rPr>
  </w:style>
  <w:style w:type="character" w:styleId="IntenseReference">
    <w:name w:val="Intense Reference"/>
    <w:basedOn w:val="DefaultParagraphFont"/>
    <w:uiPriority w:val="32"/>
    <w:qFormat/>
    <w:rsid w:val="00451385"/>
    <w:rPr>
      <w:b/>
      <w:bCs/>
      <w:smallCaps/>
      <w:color w:val="0F4761" w:themeColor="accent1" w:themeShade="BF"/>
      <w:spacing w:val="5"/>
    </w:rPr>
  </w:style>
  <w:style w:type="character" w:customStyle="1" w:styleId="ListParagraphChar">
    <w:name w:val="List Paragraph Char"/>
    <w:aliases w:val="Antes de enumeración Char,body 2 Char,List Paragraph1 Char,Normal bullet 2 Char,List Paragraph11 Char,Listă colorată - Accentuare 11 Char,Bullet Char,Citation List Char"/>
    <w:link w:val="ListParagraph"/>
    <w:uiPriority w:val="34"/>
    <w:locked/>
    <w:rsid w:val="0045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3032</Words>
  <Characters>17289</Characters>
  <Application>Microsoft Office Word</Application>
  <DocSecurity>0</DocSecurity>
  <Lines>144</Lines>
  <Paragraphs>40</Paragraphs>
  <ScaleCrop>false</ScaleCrop>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Colinele Prahovei</dc:creator>
  <cp:keywords/>
  <dc:description/>
  <cp:lastModifiedBy>Colinele Prahovei</cp:lastModifiedBy>
  <cp:revision>1</cp:revision>
  <dcterms:created xsi:type="dcterms:W3CDTF">2025-01-15T06:35:00Z</dcterms:created>
  <dcterms:modified xsi:type="dcterms:W3CDTF">2025-01-15T06:36:00Z</dcterms:modified>
</cp:coreProperties>
</file>