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B" w:rsidRPr="009851F4" w:rsidRDefault="00A965FB" w:rsidP="00A965FB">
      <w:pPr>
        <w:tabs>
          <w:tab w:val="left" w:pos="1172"/>
        </w:tabs>
        <w:rPr>
          <w:rFonts w:ascii="Calibri" w:hAnsi="Calibri"/>
          <w:sz w:val="22"/>
          <w:szCs w:val="22"/>
          <w:lang w:val="fr-FR" w:eastAsia="fr-FR"/>
        </w:rPr>
      </w:pPr>
      <w:bookmarkStart w:id="0" w:name="_GoBack"/>
      <w:bookmarkEnd w:id="0"/>
    </w:p>
    <w:tbl>
      <w:tblPr>
        <w:tblW w:w="1509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5"/>
      </w:tblGrid>
      <w:tr w:rsidR="00A965FB" w:rsidRPr="009851F4" w:rsidTr="00787792">
        <w:trPr>
          <w:trHeight w:val="710"/>
        </w:trPr>
        <w:tc>
          <w:tcPr>
            <w:tcW w:w="1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5FB" w:rsidRPr="009851F4" w:rsidRDefault="00A965FB" w:rsidP="00787792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ind w:hanging="12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9851F4">
              <w:rPr>
                <w:rFonts w:ascii="Calibri" w:hAnsi="Calibri"/>
                <w:b/>
                <w:sz w:val="22"/>
                <w:szCs w:val="22"/>
                <w:lang w:val="ro-RO"/>
              </w:rPr>
              <w:t>3. Buget indicativ (intensitate a sprijinului ........%) euro conform HG 28/ 2008</w:t>
            </w:r>
          </w:p>
          <w:p w:rsidR="00A965FB" w:rsidRPr="009851F4" w:rsidRDefault="00A965FB" w:rsidP="00787792">
            <w:pPr>
              <w:ind w:left="5760"/>
              <w:rPr>
                <w:rFonts w:ascii="Calibri" w:hAnsi="Calibri"/>
                <w:sz w:val="22"/>
                <w:szCs w:val="22"/>
                <w:lang w:val="pt-BR"/>
              </w:rPr>
            </w:pPr>
            <w:r w:rsidRPr="009851F4">
              <w:rPr>
                <w:rFonts w:ascii="Calibri" w:hAnsi="Calibri"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A965FB" w:rsidRPr="009851F4" w:rsidRDefault="00A965FB" w:rsidP="00787792">
            <w:pPr>
              <w:ind w:left="6120"/>
              <w:rPr>
                <w:rFonts w:ascii="Calibri" w:hAnsi="Calibri"/>
                <w:sz w:val="22"/>
                <w:szCs w:val="22"/>
                <w:lang w:val="pt-BR"/>
              </w:rPr>
            </w:pPr>
            <w:r w:rsidRPr="009851F4">
              <w:rPr>
                <w:rFonts w:ascii="Calibri" w:hAnsi="Calibri"/>
                <w:sz w:val="22"/>
                <w:szCs w:val="22"/>
                <w:lang w:val="pt-BR"/>
              </w:rPr>
              <w:t>din data de:____/_____/__________</w:t>
            </w:r>
          </w:p>
          <w:p w:rsidR="00A965FB" w:rsidRPr="009851F4" w:rsidRDefault="00A965FB" w:rsidP="00787792">
            <w:pPr>
              <w:jc w:val="right"/>
              <w:rPr>
                <w:rFonts w:ascii="Calibri" w:hAnsi="Calibri"/>
                <w:sz w:val="22"/>
                <w:szCs w:val="22"/>
                <w:lang w:val="ro-RO"/>
              </w:rPr>
            </w:pPr>
          </w:p>
          <w:tbl>
            <w:tblPr>
              <w:tblW w:w="13756" w:type="dxa"/>
              <w:tblLayout w:type="fixed"/>
              <w:tblLook w:val="0000" w:firstRow="0" w:lastRow="0" w:firstColumn="0" w:lastColumn="0" w:noHBand="0" w:noVBand="0"/>
            </w:tblPr>
            <w:tblGrid>
              <w:gridCol w:w="6427"/>
              <w:gridCol w:w="1136"/>
              <w:gridCol w:w="1131"/>
              <w:gridCol w:w="1136"/>
              <w:gridCol w:w="1205"/>
              <w:gridCol w:w="1205"/>
              <w:gridCol w:w="1516"/>
            </w:tblGrid>
            <w:tr w:rsidR="00A965FB" w:rsidRPr="00A965FB" w:rsidTr="00A965FB">
              <w:trPr>
                <w:trHeight w:val="300"/>
              </w:trPr>
              <w:tc>
                <w:tcPr>
                  <w:tcW w:w="2336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  Buget Indicativ al Proiectului (Valori fără TVA ) </w:t>
                  </w:r>
                </w:p>
              </w:tc>
              <w:tc>
                <w:tcPr>
                  <w:tcW w:w="824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840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ind w:right="-108"/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Verificare </w:t>
                  </w:r>
                  <w:r w:rsidRPr="00A965FB">
                    <w:rPr>
                      <w:rFonts w:ascii="Calibri" w:hAnsi="Calibri"/>
                      <w:b/>
                      <w:i/>
                      <w:sz w:val="18"/>
                      <w:szCs w:val="22"/>
                      <w:lang w:val="ro-RO"/>
                    </w:rPr>
                    <w:t>OJFIR/</w:t>
                  </w:r>
                  <w:r w:rsidRPr="00A965FB">
                    <w:rPr>
                      <w:rFonts w:ascii="Calibri" w:hAnsi="Calibri"/>
                      <w:b/>
                      <w:bCs/>
                      <w:i/>
                      <w:sz w:val="18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A965FB" w:rsidRPr="00A965FB" w:rsidTr="00A965FB">
              <w:trPr>
                <w:trHeight w:val="31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824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850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Cheltuieli conform SF (documentaţie tehnico-economică)</w:t>
                  </w:r>
                </w:p>
              </w:tc>
              <w:tc>
                <w:tcPr>
                  <w:tcW w:w="990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A965FB" w:rsidRPr="00A965FB" w:rsidTr="00A965FB">
              <w:trPr>
                <w:trHeight w:val="31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E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N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E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N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E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N</w:t>
                  </w: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3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>3</w:t>
                  </w:r>
                </w:p>
              </w:tc>
            </w:tr>
            <w:tr w:rsidR="00A965FB" w:rsidRPr="00A965FB" w:rsidTr="00A965FB">
              <w:trPr>
                <w:trHeight w:val="336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 xml:space="preserve">Capitolul 1 Cheltuieli pentru obţinerea şi amenajarea terenului - total, din care: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74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fr-FR"/>
                    </w:rPr>
                    <w:t xml:space="preserve">1.1Cheltuieli pentru obţinerea  terenului </w:t>
                  </w:r>
                  <w:r w:rsidRPr="00A965FB">
                    <w:rPr>
                      <w:rFonts w:ascii="Calibri" w:hAnsi="Calibri"/>
                      <w:b/>
                      <w:sz w:val="18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fr-F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450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66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Cs/>
                      <w:sz w:val="18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  <w:t xml:space="preserve">Capitolul 3 Cheltuieli pentru proiectare şi asistenţă tehnică - total, din care: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Cs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bCs/>
                      <w:sz w:val="18"/>
                      <w:szCs w:val="22"/>
                    </w:rPr>
                    <w:t>3.1 Studii de teren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1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 xml:space="preserve">3.2 Obţinere de avize, acorduri şi autorizaţii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398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>3.3 Proiectare şi inginerie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 xml:space="preserve">3.4 Organizarea procedurilor de achiziţie </w:t>
                  </w: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(N</w:t>
                  </w: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>)</w:t>
                  </w: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339966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>3.5 Consultanţă</w:t>
                  </w: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>3.6 Asistenţă tehnică</w:t>
                  </w: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Capitolul 4 Cheltuieli pentru investiţia de bază - total, din care: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>A Construcţii şi lucrări de intervenţii – total, din care: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 xml:space="preserve">4.2 Montaj utilaj tehnologic 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 xml:space="preserve">4.3 Utilaje şi echipamente tehnologice cu montaj 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480"/>
              </w:trPr>
              <w:tc>
                <w:tcPr>
                  <w:tcW w:w="23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 xml:space="preserve">4.4 Utilaje şi echipamente fără montaj, mijloace de transport noi solicitate prin proiect, alte achiziţii specifice 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lastRenderedPageBreak/>
                    <w:t>4.6 Active necorporale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</w:rPr>
                    <w:t xml:space="preserve">5.1 Organizare de şantier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 xml:space="preserve">5.1.1 lucrări de construcţii </w:t>
                  </w:r>
                  <w:r w:rsidRPr="00A965FB">
                    <w:rPr>
                      <w:rFonts w:ascii="Calibri" w:hAnsi="Calibri"/>
                      <w:bCs/>
                      <w:sz w:val="18"/>
                      <w:szCs w:val="22"/>
                      <w:lang w:val="pt-BR"/>
                    </w:rPr>
                    <w:t>ş</w:t>
                  </w: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>5.1.2 cheltuieli conexe organizării şantierului</w:t>
                  </w: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it-IT"/>
                    </w:rPr>
                    <w:t>5.3 Cheltuieli diverse şi neprevăzute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  <w:t xml:space="preserve">Capitolul 6 Cheltuieli pentru darea în exploatare - total, din care: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it-IT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 xml:space="preserve">6.1 Pregătirea personalului de exploatare </w:t>
                  </w: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sz w:val="18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55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552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  <w:tr w:rsidR="00A965FB" w:rsidRPr="00A965FB" w:rsidTr="00A965FB">
              <w:trPr>
                <w:trHeight w:val="270"/>
              </w:trPr>
              <w:tc>
                <w:tcPr>
                  <w:tcW w:w="2336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  <w:r w:rsidRPr="00A965FB"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824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850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  <w:tc>
                <w:tcPr>
                  <w:tcW w:w="990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A965FB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22"/>
                      <w:lang w:val="pt-BR"/>
                    </w:rPr>
                  </w:pPr>
                </w:p>
              </w:tc>
            </w:tr>
          </w:tbl>
          <w:p w:rsidR="00A965FB" w:rsidRPr="009851F4" w:rsidRDefault="00A965FB" w:rsidP="00787792">
            <w:pPr>
              <w:rPr>
                <w:rFonts w:ascii="Calibri" w:hAnsi="Calibri"/>
                <w:b/>
                <w:i/>
                <w:iCs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rPr>
                <w:rFonts w:ascii="Calibri" w:hAnsi="Calibri"/>
                <w:b/>
                <w:i/>
                <w:iCs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rPr>
                <w:rFonts w:ascii="Calibri" w:hAnsi="Calibri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9851F4">
              <w:rPr>
                <w:rFonts w:ascii="Calibri" w:hAnsi="Calibri"/>
                <w:b/>
                <w:i/>
                <w:iCs/>
                <w:sz w:val="22"/>
                <w:szCs w:val="22"/>
                <w:lang w:val="ro-RO"/>
              </w:rPr>
              <w:t>Toate costurile vor fi exprimate în Euro, şi se vor baza pe devizul general din Studiul de fezabilitate (întocmit în Euro)</w:t>
            </w: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  <w:r w:rsidRPr="009851F4">
              <w:rPr>
                <w:rFonts w:ascii="Calibri" w:hAnsi="Calibri"/>
                <w:sz w:val="22"/>
                <w:szCs w:val="22"/>
                <w:lang w:val="ro-RO"/>
              </w:rPr>
              <w:t xml:space="preserve">1 Euro = ………..LEI </w:t>
            </w:r>
            <w:r w:rsidRPr="009851F4">
              <w:rPr>
                <w:rFonts w:ascii="Calibri" w:eastAsia="Arial Unicode MS" w:hAnsi="Calibri"/>
                <w:sz w:val="22"/>
                <w:szCs w:val="22"/>
                <w:lang w:val="ro-RO"/>
              </w:rPr>
              <w:t>(</w:t>
            </w:r>
            <w:r w:rsidRPr="009851F4">
              <w:rPr>
                <w:rFonts w:ascii="Calibri" w:hAnsi="Calibri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9851F4">
              <w:rPr>
                <w:rFonts w:ascii="Calibri" w:eastAsia="Arial Unicode MS" w:hAnsi="Calibri"/>
                <w:sz w:val="22"/>
                <w:szCs w:val="22"/>
                <w:lang w:val="ro-RO"/>
              </w:rPr>
              <w:t>la data întocmirii Studiului de fezabilitate)</w:t>
            </w: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ind w:hanging="12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ind w:hanging="12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9851F4">
              <w:rPr>
                <w:rFonts w:ascii="Calibri" w:hAnsi="Calibri"/>
                <w:b/>
                <w:sz w:val="22"/>
                <w:szCs w:val="22"/>
                <w:lang w:val="ro-RO"/>
              </w:rPr>
              <w:t>Buget indicativ (intensitate a sprijinului ...............%) euro conform HG 907/ 2016</w:t>
            </w:r>
          </w:p>
          <w:p w:rsidR="00A965FB" w:rsidRPr="009851F4" w:rsidRDefault="00A965FB" w:rsidP="00787792">
            <w:pPr>
              <w:ind w:left="-240"/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9851F4">
              <w:rPr>
                <w:rFonts w:ascii="Calibri" w:hAnsi="Calibri"/>
                <w:b/>
                <w:sz w:val="22"/>
                <w:szCs w:val="22"/>
                <w:lang w:val="ro-RO"/>
              </w:rPr>
              <w:t>e</w:t>
            </w:r>
          </w:p>
          <w:p w:rsidR="00A965FB" w:rsidRPr="009851F4" w:rsidRDefault="00A965FB" w:rsidP="00787792">
            <w:pPr>
              <w:ind w:left="5760"/>
              <w:rPr>
                <w:rFonts w:ascii="Calibri" w:hAnsi="Calibri"/>
                <w:sz w:val="22"/>
                <w:szCs w:val="22"/>
                <w:lang w:val="pt-BR"/>
              </w:rPr>
            </w:pPr>
            <w:r w:rsidRPr="009851F4">
              <w:rPr>
                <w:rFonts w:ascii="Calibri" w:hAnsi="Calibri"/>
                <w:sz w:val="22"/>
                <w:szCs w:val="22"/>
                <w:lang w:val="pt-BR"/>
              </w:rPr>
              <w:t>S-a utilizat cursul de schimb              1 Euro = …………………..LEI</w:t>
            </w:r>
          </w:p>
          <w:p w:rsidR="00A965FB" w:rsidRPr="009851F4" w:rsidRDefault="00A965FB" w:rsidP="00787792">
            <w:pPr>
              <w:ind w:left="6120"/>
              <w:rPr>
                <w:rFonts w:ascii="Calibri" w:hAnsi="Calibri"/>
                <w:sz w:val="22"/>
                <w:szCs w:val="22"/>
                <w:lang w:val="pt-BR"/>
              </w:rPr>
            </w:pPr>
            <w:r w:rsidRPr="009851F4">
              <w:rPr>
                <w:rFonts w:ascii="Calibri" w:hAnsi="Calibri"/>
                <w:sz w:val="22"/>
                <w:szCs w:val="22"/>
                <w:lang w:val="pt-BR"/>
              </w:rPr>
              <w:t>din data de:____/_____/__________</w:t>
            </w:r>
          </w:p>
          <w:p w:rsidR="00A965FB" w:rsidRDefault="00A965FB" w:rsidP="00787792">
            <w:pPr>
              <w:jc w:val="right"/>
              <w:rPr>
                <w:rFonts w:ascii="Calibri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jc w:val="right"/>
              <w:rPr>
                <w:rFonts w:ascii="Calibri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jc w:val="right"/>
              <w:rPr>
                <w:rFonts w:ascii="Calibri" w:hAnsi="Calibri"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jc w:val="right"/>
              <w:rPr>
                <w:rFonts w:ascii="Calibri" w:hAnsi="Calibri"/>
                <w:sz w:val="22"/>
                <w:szCs w:val="22"/>
                <w:lang w:val="ro-RO"/>
              </w:rPr>
            </w:pPr>
          </w:p>
          <w:tbl>
            <w:tblPr>
              <w:tblW w:w="13828" w:type="dxa"/>
              <w:tblLayout w:type="fixed"/>
              <w:tblLook w:val="0000" w:firstRow="0" w:lastRow="0" w:firstColumn="0" w:lastColumn="0" w:noHBand="0" w:noVBand="0"/>
            </w:tblPr>
            <w:tblGrid>
              <w:gridCol w:w="7058"/>
              <w:gridCol w:w="1261"/>
              <w:gridCol w:w="1261"/>
              <w:gridCol w:w="1134"/>
              <w:gridCol w:w="993"/>
              <w:gridCol w:w="1134"/>
              <w:gridCol w:w="987"/>
            </w:tblGrid>
            <w:tr w:rsidR="00A965FB" w:rsidRPr="009851F4" w:rsidTr="00A965FB">
              <w:trPr>
                <w:trHeight w:val="300"/>
              </w:trPr>
              <w:tc>
                <w:tcPr>
                  <w:tcW w:w="2552" w:type="pct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Buget Indicativ al Proiectului (Valori fără TVA ) </w:t>
                  </w:r>
                </w:p>
              </w:tc>
              <w:tc>
                <w:tcPr>
                  <w:tcW w:w="911" w:type="pct"/>
                  <w:gridSpan w:val="2"/>
                  <w:vMerge w:val="restart"/>
                  <w:tcBorders>
                    <w:top w:val="single" w:sz="8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>Cheltuieli conform Cererii de finanţare</w:t>
                  </w:r>
                </w:p>
              </w:tc>
              <w:tc>
                <w:tcPr>
                  <w:tcW w:w="1537" w:type="pct"/>
                  <w:gridSpan w:val="4"/>
                  <w:tcBorders>
                    <w:top w:val="single" w:sz="8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ind w:right="-108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Verificare </w:t>
                  </w:r>
                  <w:r w:rsidRPr="009851F4">
                    <w:rPr>
                      <w:rFonts w:ascii="Calibri" w:hAnsi="Calibri"/>
                      <w:b/>
                      <w:i/>
                      <w:sz w:val="22"/>
                      <w:szCs w:val="22"/>
                      <w:lang w:val="ro-RO"/>
                    </w:rPr>
                    <w:t>OJFIR/</w:t>
                  </w:r>
                  <w:r w:rsidRPr="009851F4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  <w:lang w:val="it-IT"/>
                    </w:rPr>
                    <w:t>CRFIR/AFIR-verificare prin sondaj</w:t>
                  </w:r>
                </w:p>
              </w:tc>
            </w:tr>
            <w:tr w:rsidR="00A965FB" w:rsidRPr="009851F4" w:rsidTr="00A965FB">
              <w:trPr>
                <w:trHeight w:val="31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Denumirea capitolelor de cheltuieli</w:t>
                  </w:r>
                </w:p>
              </w:tc>
              <w:tc>
                <w:tcPr>
                  <w:tcW w:w="911" w:type="pct"/>
                  <w:gridSpan w:val="2"/>
                  <w:vMerge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9" w:type="pct"/>
                  <w:gridSpan w:val="2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Cheltuieli conform SF (documentatie tehnico-economica)</w:t>
                  </w:r>
                </w:p>
              </w:tc>
              <w:tc>
                <w:tcPr>
                  <w:tcW w:w="768" w:type="pct"/>
                  <w:gridSpan w:val="2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>Diferenţe faţă de Cererea de finanţare</w:t>
                  </w:r>
                </w:p>
              </w:tc>
            </w:tr>
            <w:tr w:rsidR="00A965FB" w:rsidRPr="009851F4" w:rsidTr="00A965FB">
              <w:trPr>
                <w:trHeight w:val="31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>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Capitolul 1 Cheltuieli pentru obţinerea şi amenajarea terenului - total, din care: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fr-FR"/>
                    </w:rPr>
                    <w:t xml:space="preserve">1.1Cheltuieli pentru obţinerea  terenului </w:t>
                  </w:r>
                  <w:r w:rsidRPr="009851F4">
                    <w:rPr>
                      <w:rFonts w:ascii="Calibri" w:hAnsi="Calibri"/>
                      <w:b/>
                      <w:sz w:val="22"/>
                      <w:szCs w:val="22"/>
                      <w:lang w:val="fr-FR"/>
                    </w:rPr>
                    <w:t>(N)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it-IT"/>
                    </w:rPr>
                    <w:t xml:space="preserve">1.2 Cheltuieli pentru amenajarea terenului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</w:rPr>
                    <w:t xml:space="preserve">1.3 Cheltuieli cu amenajări pentru  protecţia mediului şi aducerea la starea iniţială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1.4 Cheltuieli pentru relocarea/protecţia utilităţilor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Capitolul 2 Cheltuieli pentru asigurarea utilitaţilor necesare obiectivului - total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highlight w:val="darkGreen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66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Cs/>
                      <w:sz w:val="22"/>
                      <w:szCs w:val="22"/>
                      <w:lang w:val="it-IT"/>
                    </w:rPr>
                    <w:t xml:space="preserve"> 2.1. Cheltuieli pentru asigurarea utilităţilor necesare obiectivului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Capitolul 3 Cheltuieli pentru proiectare şi asistenţă tehnică - total, din care: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Cs/>
                      <w:sz w:val="22"/>
                      <w:szCs w:val="22"/>
                    </w:rPr>
                    <w:t>3.1 Studii de teren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3.1.1. Studii de teren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3.1.2. Raport privind impactul asupra mediului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3.1.3. Alte studii specifice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337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 xml:space="preserve">3.2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 xml:space="preserve">Documentaţii-suport şi cheltuieli pentru </w:t>
                  </w: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 xml:space="preserve">obţinere de avize, acorduri şi </w:t>
                  </w: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lastRenderedPageBreak/>
                    <w:t xml:space="preserve">autorizaţii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9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3.3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Expertizare tehnică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pt-BR"/>
                    </w:rPr>
                    <w:t xml:space="preserve">3.4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Certificarea performanţei energetice şi auditul energetic al clădirilor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t xml:space="preserve">3.5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Proiectare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3.5.1. Temă de proiectare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3.5.2. Studiu de prefezabilitate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autoSpaceDE w:val="0"/>
                    <w:autoSpaceDN w:val="0"/>
                    <w:adjustRightInd w:val="0"/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3.5.3. Studiu de fezabilitate/documentaţie de avizare a lucrărilor de intervenţii şi deviz general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3.5.4. Documentaţiile tehnice necesare în vederea obţinerii avizelor/acordurilor/autorizaţiilor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3.5.5. Verificarea tehnică de calitate a proiectului tehnic şi a detaliilor de execuţie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3.5.6. Proiect tehnic şi detalii de execuţie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t xml:space="preserve">3.6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Organizarea procedurilor de achiziţie</w:t>
                  </w: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t xml:space="preserve"> (N)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3.7 Consultanţă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3.7.1. Managementul de proiect pentru obiectivul de investiţii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3.7.2. Auditul financiar (N)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3.8 Asistenţă tehnică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3.8.1. Asistenţă tehnică din partea proiectantului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3.8.1.1. pe perioada de execuţie a lucrărilor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autoSpaceDE w:val="0"/>
                    <w:autoSpaceDN w:val="0"/>
                    <w:adjustRightInd w:val="0"/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3.8.1.2. pentru participarea proiectantului la fazele incluse în programul de control al lucrărilor de execuţie, avizat de către Inspectoratul de Stat în Construcţii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3.8.2. Dirigenţie de şantier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4 Cheltuieli pentru investiţia de bază - total, din care: 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</w:rPr>
                    <w:t>4.1 Construcţii şi instalaţii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t xml:space="preserve">4.2 Montaj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utilaje, echipamente tehnologice şi funcţionale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 xml:space="preserve">4.3 Utilaje, echipamente tehnologice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şi funcţionale care necesită</w:t>
                  </w: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 xml:space="preserve"> montaj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480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autoSpaceDE w:val="0"/>
                    <w:autoSpaceDN w:val="0"/>
                    <w:adjustRightInd w:val="0"/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 xml:space="preserve">4.4 Utilaje, echipamente </w:t>
                  </w: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tehnologice şi funcţionale care nu necesită montaj şi echipamente de transport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</w:rPr>
                    <w:t xml:space="preserve">4.5 Dotări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</w:rPr>
                    <w:t>4.6 Active necorporale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Capitolul 5 Alte cheltuieli - total, din care: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 xml:space="preserve">5.1 Organizare de şantier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5.1.1 lucrări de construcţii </w:t>
                  </w:r>
                  <w:r w:rsidRPr="009851F4">
                    <w:rPr>
                      <w:rFonts w:ascii="Calibri" w:hAnsi="Calibri"/>
                      <w:bCs/>
                      <w:sz w:val="22"/>
                      <w:szCs w:val="22"/>
                      <w:lang w:val="pt-BR"/>
                    </w:rPr>
                    <w:t xml:space="preserve"> ş</w:t>
                  </w:r>
                  <w:r w:rsidRPr="009851F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i instalaţii aferente organizării de şantier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it-IT"/>
                    </w:rPr>
                    <w:t>5.1.2 cheltuieli conexe organizării şantierului</w:t>
                  </w: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it-IT"/>
                    </w:rPr>
                    <w:t>5.2 Comisioane, taxe, costul creditului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5.2.1. Comisioanele şi dobânzile aferente creditului băncii finanţatoare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5.2.2. Cota aferentă ISC pentru controlul calităţii lucrărilor de construcţii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autoSpaceDE w:val="0"/>
                    <w:autoSpaceDN w:val="0"/>
                    <w:adjustRightInd w:val="0"/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5.2.3. Cota aferentă ISC pentru controlul statului în amenajarea teritoriului, urbanism şi pentru autorizarea lucrărilor de construcţ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5.2.4. Cota aferentă Casei Sociale a Constructorilor – CSC (N)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5.2.5. Taxe pentru acorduri, avize conforme şi autorizaţia de construire/desfiinţare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  <w:t>5.3 Cheltuieli diverse şi neprevăzute (N)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eastAsia="SimSun" w:hAnsi="Calibri" w:cs="Calibri"/>
                      <w:sz w:val="22"/>
                      <w:szCs w:val="22"/>
                      <w:lang w:val="en-GB" w:eastAsia="en-GB"/>
                    </w:rPr>
                    <w:t>5.4 Cheltuieli pentru informare şi publicitate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  <w:t xml:space="preserve"> Capitolul 6 Cheltuieli pentru darea în exploatare - total, din care: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6.1 Pregătirea personalului de exploatare </w:t>
                  </w: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>(N)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00B050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vAlign w:val="center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 xml:space="preserve">6.2 Probe tehnologice, încercări, rodaje, expertize la recepţie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 xml:space="preserve">TOTAL   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center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 xml:space="preserve"> ACTUALIZARE Cheltuieli Eligibile (max 5%)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>TOTAL GENERAL fără TVA 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 xml:space="preserve"> Valoare TVA  </w:t>
                  </w:r>
                </w:p>
              </w:tc>
              <w:tc>
                <w:tcPr>
                  <w:tcW w:w="456" w:type="pc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56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9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A965FB" w:rsidRPr="009851F4" w:rsidTr="00A965FB">
              <w:trPr>
                <w:trHeight w:val="270"/>
              </w:trPr>
              <w:tc>
                <w:tcPr>
                  <w:tcW w:w="2552" w:type="pct"/>
                  <w:tcBorders>
                    <w:top w:val="nil"/>
                    <w:left w:val="single" w:sz="8" w:space="0" w:color="008080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  <w:t xml:space="preserve"> TOTAL GENERAL inclusiv TVA </w:t>
                  </w:r>
                </w:p>
              </w:tc>
              <w:tc>
                <w:tcPr>
                  <w:tcW w:w="911" w:type="pct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69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  <w:tc>
                <w:tcPr>
                  <w:tcW w:w="768" w:type="pct"/>
                  <w:gridSpan w:val="2"/>
                  <w:tcBorders>
                    <w:top w:val="single" w:sz="4" w:space="0" w:color="008080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A965FB" w:rsidRPr="009851F4" w:rsidRDefault="00A965FB" w:rsidP="00787792">
            <w:pPr>
              <w:rPr>
                <w:rFonts w:ascii="Calibri" w:hAnsi="Calibri"/>
                <w:b/>
                <w:i/>
                <w:iCs/>
                <w:caps/>
                <w:sz w:val="22"/>
                <w:szCs w:val="22"/>
                <w:u w:val="single"/>
                <w:lang w:val="ro-RO"/>
              </w:rPr>
            </w:pPr>
            <w:r w:rsidRPr="009851F4">
              <w:rPr>
                <w:rFonts w:ascii="Calibri" w:hAnsi="Calibri"/>
                <w:b/>
                <w:i/>
                <w:iCs/>
                <w:sz w:val="22"/>
                <w:szCs w:val="22"/>
                <w:lang w:val="ro-RO"/>
              </w:rPr>
              <w:t>Toate costurile vor fi exprimate în Euro şi se vor baza pe devizul general din Studiul de fezabilitate (întocmit în Euro)</w:t>
            </w: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  <w:r w:rsidRPr="009851F4">
              <w:rPr>
                <w:rFonts w:ascii="Calibri" w:hAnsi="Calibri"/>
                <w:sz w:val="22"/>
                <w:szCs w:val="22"/>
                <w:lang w:val="ro-RO"/>
              </w:rPr>
              <w:t xml:space="preserve">1 Euro = ………..LEI </w:t>
            </w:r>
            <w:r w:rsidRPr="009851F4">
              <w:rPr>
                <w:rFonts w:ascii="Calibri" w:eastAsia="Arial Unicode MS" w:hAnsi="Calibri"/>
                <w:sz w:val="22"/>
                <w:szCs w:val="22"/>
                <w:lang w:val="ro-RO"/>
              </w:rPr>
              <w:t>(</w:t>
            </w:r>
            <w:r w:rsidRPr="009851F4">
              <w:rPr>
                <w:rFonts w:ascii="Calibri" w:hAnsi="Calibri"/>
                <w:sz w:val="22"/>
                <w:szCs w:val="22"/>
                <w:lang w:val="ro-RO"/>
              </w:rPr>
              <w:t>Rata de conversie între Euro şi moneda naţională pentru România este cea publicată de Banca Central Europeană pe Internet la adresa : &lt;http://www.ecb.int/index.html&gt;</w:t>
            </w:r>
            <w:r w:rsidRPr="009851F4">
              <w:rPr>
                <w:rFonts w:ascii="Calibri" w:eastAsia="Arial Unicode MS" w:hAnsi="Calibri"/>
                <w:sz w:val="22"/>
                <w:szCs w:val="22"/>
                <w:lang w:val="ro-RO"/>
              </w:rPr>
              <w:t>la data întocmirii Studiului de fezabilitate) 5</w:t>
            </w: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rPr>
                <w:rFonts w:ascii="Calibri" w:eastAsia="Arial Unicode MS" w:hAnsi="Calibri"/>
                <w:sz w:val="22"/>
                <w:szCs w:val="22"/>
                <w:lang w:val="ro-RO"/>
              </w:rPr>
            </w:pPr>
          </w:p>
          <w:p w:rsidR="00A965FB" w:rsidRPr="009851F4" w:rsidRDefault="00A965FB" w:rsidP="00787792">
            <w:pPr>
              <w:pStyle w:val="Corptext3"/>
              <w:jc w:val="left"/>
              <w:rPr>
                <w:rFonts w:ascii="Calibri" w:hAnsi="Calibri"/>
                <w:b w:val="0"/>
                <w:sz w:val="22"/>
                <w:szCs w:val="22"/>
                <w:lang w:val="ro-RO"/>
              </w:rPr>
            </w:pPr>
          </w:p>
          <w:tbl>
            <w:tblPr>
              <w:tblW w:w="13707" w:type="dxa"/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984"/>
              <w:gridCol w:w="1158"/>
              <w:gridCol w:w="1260"/>
              <w:gridCol w:w="1080"/>
              <w:gridCol w:w="1080"/>
              <w:gridCol w:w="1080"/>
              <w:gridCol w:w="1080"/>
              <w:gridCol w:w="1080"/>
              <w:gridCol w:w="1170"/>
              <w:gridCol w:w="1160"/>
            </w:tblGrid>
            <w:tr w:rsidR="00A965FB" w:rsidRPr="009851F4" w:rsidTr="00A965FB">
              <w:trPr>
                <w:trHeight w:val="435"/>
              </w:trPr>
              <w:tc>
                <w:tcPr>
                  <w:tcW w:w="13707" w:type="dxa"/>
                  <w:gridSpan w:val="11"/>
                  <w:tcBorders>
                    <w:top w:val="single" w:sz="8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bookmarkStart w:id="1" w:name="RANGE!B2:L37"/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lastRenderedPageBreak/>
                    <w:t>Matrice de verificare a viabilitatii economico-financiare a proiectului pentru Anexa B ( persoane juridice)</w:t>
                  </w:r>
                  <w:bookmarkEnd w:id="1"/>
                </w:p>
              </w:tc>
            </w:tr>
            <w:tr w:rsidR="00A965FB" w:rsidRPr="009851F4" w:rsidTr="00A965FB">
              <w:trPr>
                <w:trHeight w:val="135"/>
              </w:trPr>
              <w:tc>
                <w:tcPr>
                  <w:tcW w:w="13707" w:type="dxa"/>
                  <w:gridSpan w:val="11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008080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FFFFFF"/>
                      <w:sz w:val="22"/>
                      <w:szCs w:val="22"/>
                    </w:rPr>
                    <w:t> 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3559" w:type="dxa"/>
                  <w:gridSpan w:val="2"/>
                  <w:tcBorders>
                    <w:top w:val="single" w:sz="4" w:space="0" w:color="008080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Anul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Limita indicator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UM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Total an 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Total an 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Total an 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Total an 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Total an 5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Validare criterii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Nr.</w:t>
                  </w:r>
                </w:p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crt.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Specificatie</w:t>
                  </w:r>
                </w:p>
              </w:tc>
              <w:tc>
                <w:tcPr>
                  <w:tcW w:w="1158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Valoare 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                      5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                    6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                     7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nil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                     8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                     9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11</w:t>
                  </w: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both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Valoare investitie (VI)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valoare totala a proiectului fara TVA, preluata din Bugetul Indicativ Anexa G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Nu sunt 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Valoare investitie (VI)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both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Veniturile din exploatare (Ve)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- se inscriu valorile din proiectia contului de profit si pierdere, randul 6, aferente perioadei respective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Nu sunt 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both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Veniturile din exploatare (Ve)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- 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both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Cheltuieli de exploatare (Ce) -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se inscriu valorile din proiectia contului de profit si pierdere, randul 11, aferente perioadei respective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Nu sunt 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both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Cheltuieli de exploatare (Ce) -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 calculata de solicitant, conform tabelului de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lastRenderedPageBreak/>
                    <w:t xml:space="preserve">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lastRenderedPageBreak/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rezultatului din exploatare (rRe)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se calculeaza automat diferenta dintre Ve si Ce introduse, raportat la Ve -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minim 10%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minim 10% din Ve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rezultatului din exploatare (rRe)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minim 10% din Ve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Flux de numerar din activitatea de exploatare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linia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P din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Anexa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B8</w:t>
                  </w:r>
                  <w:r w:rsidRPr="009851F4">
                    <w:rPr>
                      <w:rFonts w:ascii="Calibri" w:hAnsi="Calibri" w:cs="Arial"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aferent perioadei respective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</w:tr>
            <w:tr w:rsidR="00A965FB" w:rsidRPr="009851F4" w:rsidTr="00A965FB">
              <w:trPr>
                <w:trHeight w:val="93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Durata de recuperare a investitiei (Dr) - 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se calculeaza automat ca raport intre VI si Fluxul de numerar net actualizat mediu pe orizontul de 12 ani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maxim 12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</w:tr>
            <w:tr w:rsidR="00A965FB" w:rsidRPr="009851F4" w:rsidTr="00A965FB">
              <w:trPr>
                <w:trHeight w:val="84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Durata de recuperare a investitiei (Dr)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maxim 12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rentabilitatii capitalului investit (rRc)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se calculeaza automat ca raport intre Fluxul de numerar din activitatea de exploatare si (VI)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minim 5%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rentabilitatii capitalului investit (rRc)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minim 5%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Flux de lichiditati net al perioadei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linia Q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(PDCTML) Plati de dobanzi la credite pe termen mediu si lung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linia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C2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din fluxul de numerar pentru anii 1-5, se introduce pentru perioada aferenta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(RCTML) Rambursari de credite pe termen mediu si lung -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linia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C1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din fluxul de numerar pentru anii 1-5, se introduce pentru perioada aferenta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112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acoperirii prin fluxul de numerar (RAFN)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se calculeaza automat ca raport intre Fluxul de numerar din exploatare aferent perioadei respective si suma (PDCTML+RCTML) -  trebuie sa fie =&gt; cu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&gt;=1,2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auto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acoperirii prin fluxul de numerar (RAFN)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&gt;=1,2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8 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(D&gt;1)Datorii ce trebuie platite intr-o perioada mai mare de un an -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linia IV din sheetul bilant - se introduce pentru perioada aferenta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(A) Total activ 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- din sheetul bilant si se introduce pentru perioada aferenta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Numeric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675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Rata indatorarii (rI)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se calculeaza automat ca raport intre (D&gt;1) si total activ (A) -  trebuie sa fie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maxim 60%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maxim 60%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#DIV/0!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Rata indatorarii (rI) -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maxim 60%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%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Rata de actualizare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N/A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008080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FFFFFF"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N/A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10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Valoare actualizata neta (VAN)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trebuie sa fie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pozitiva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Nu sunt 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Respecta criteriu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Valoare actualizata neta (VAN)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calculata de solicitant,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008080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900"/>
              </w:trPr>
              <w:tc>
                <w:tcPr>
                  <w:tcW w:w="575" w:type="dxa"/>
                  <w:vMerge w:val="restart"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Disponibil de numerar la sfarsitul perioadei - 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se preiau valorile din linia 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S,</w:t>
                  </w: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 xml:space="preserve"> Anexa B8, aferente perioadei respective - trebuie sa fie</w:t>
                  </w: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pozitiv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LEI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Nu sunt diferente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shd w:val="clear" w:color="000000" w:fill="CCFFFF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Respecta criteriu</w:t>
                  </w:r>
                </w:p>
              </w:tc>
            </w:tr>
            <w:tr w:rsidR="00A965FB" w:rsidRPr="009851F4" w:rsidTr="00A965FB">
              <w:trPr>
                <w:trHeight w:val="450"/>
              </w:trPr>
              <w:tc>
                <w:tcPr>
                  <w:tcW w:w="575" w:type="dxa"/>
                  <w:vMerge/>
                  <w:tcBorders>
                    <w:top w:val="nil"/>
                    <w:left w:val="single" w:sz="8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Disponibil de numerar la sfarsitul perioadei, conform tabelului de indicatori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&gt;=0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 LEI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8080"/>
                    <w:right w:val="single" w:sz="4" w:space="0" w:color="008080"/>
                  </w:tcBorders>
                  <w:shd w:val="clear" w:color="auto" w:fill="auto"/>
                  <w:noWrap/>
                  <w:vAlign w:val="center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4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4" w:space="0" w:color="008080"/>
                    <w:bottom w:val="single" w:sz="4" w:space="0" w:color="008080"/>
                    <w:right w:val="single" w:sz="8" w:space="0" w:color="008080"/>
                  </w:tcBorders>
                  <w:vAlign w:val="center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13707" w:type="dxa"/>
                  <w:gridSpan w:val="11"/>
                  <w:tcBorders>
                    <w:top w:val="nil"/>
                    <w:left w:val="single" w:sz="8" w:space="0" w:color="008080"/>
                    <w:bottom w:val="nil"/>
                    <w:right w:val="single" w:sz="8" w:space="0" w:color="008080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rPr>
                      <w:rFonts w:ascii="Calibri" w:hAnsi="Calibri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color w:val="008080"/>
                      <w:sz w:val="22"/>
                      <w:szCs w:val="22"/>
                    </w:rPr>
                    <w:t>Proiectul respecta obiectivul de ordin economico-financiar "cresterea viabilitatii economice"?</w:t>
                  </w:r>
                </w:p>
              </w:tc>
            </w:tr>
            <w:tr w:rsidR="00A965FB" w:rsidRPr="009851F4" w:rsidTr="00A965FB">
              <w:trPr>
                <w:trHeight w:val="225"/>
              </w:trPr>
              <w:tc>
                <w:tcPr>
                  <w:tcW w:w="575" w:type="dxa"/>
                  <w:tcBorders>
                    <w:top w:val="single" w:sz="4" w:space="0" w:color="FFFFFF"/>
                    <w:left w:val="single" w:sz="8" w:space="0" w:color="008080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</w:tr>
            <w:tr w:rsidR="00A965FB" w:rsidRPr="009851F4" w:rsidTr="00A965FB">
              <w:trPr>
                <w:trHeight w:val="706"/>
              </w:trPr>
              <w:tc>
                <w:tcPr>
                  <w:tcW w:w="4717" w:type="dxa"/>
                  <w:gridSpan w:val="3"/>
                  <w:tcBorders>
                    <w:top w:val="single" w:sz="4" w:space="0" w:color="FFFFFF"/>
                    <w:left w:val="single" w:sz="8" w:space="0" w:color="008080"/>
                    <w:bottom w:val="single" w:sz="8" w:space="0" w:color="008080"/>
                    <w:right w:val="single" w:sz="4" w:space="0" w:color="FFFFFF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A965FB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  <w:t xml:space="preserve">Verificare la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  <w:t>GAL”Colinele Prahovei”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right"/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  <w:t xml:space="preserve">                       DA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808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00808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7800C09F" wp14:editId="4FEA7D7C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95250</wp:posOffset>
                        </wp:positionV>
                        <wp:extent cx="114300" cy="104775"/>
                        <wp:effectExtent l="0" t="0" r="0" b="9525"/>
                        <wp:wrapNone/>
                        <wp:docPr id="4" name="Imagin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Box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 xml:space="preserve">sau 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noProof/>
                      <w:color w:val="00808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71DCE346" wp14:editId="4207DD7B">
                        <wp:simplePos x="0" y="0"/>
                        <wp:positionH relativeFrom="column">
                          <wp:posOffset>590550</wp:posOffset>
                        </wp:positionH>
                        <wp:positionV relativeFrom="paragraph">
                          <wp:posOffset>95250</wp:posOffset>
                        </wp:positionV>
                        <wp:extent cx="114300" cy="104775"/>
                        <wp:effectExtent l="0" t="0" r="0" b="9525"/>
                        <wp:wrapNone/>
                        <wp:docPr id="3" name="Imagin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heckBox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A965FB" w:rsidRPr="009851F4" w:rsidTr="00787792">
                    <w:trPr>
                      <w:trHeight w:val="491"/>
                      <w:tblCellSpacing w:w="0" w:type="dxa"/>
                      <w:jc w:val="center"/>
                    </w:trPr>
                    <w:tc>
                      <w:tcPr>
                        <w:tcW w:w="1220" w:type="dxa"/>
                        <w:tcBorders>
                          <w:top w:val="nil"/>
                          <w:left w:val="single" w:sz="4" w:space="0" w:color="FFFFFF"/>
                          <w:bottom w:val="single" w:sz="8" w:space="0" w:color="00808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965FB" w:rsidRPr="009851F4" w:rsidRDefault="00A965FB" w:rsidP="00787792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8080"/>
                            <w:sz w:val="22"/>
                            <w:szCs w:val="22"/>
                          </w:rPr>
                        </w:pPr>
                        <w:r w:rsidRPr="009851F4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8080"/>
                            <w:sz w:val="22"/>
                            <w:szCs w:val="22"/>
                          </w:rPr>
                          <w:t>NU</w:t>
                        </w:r>
                      </w:p>
                    </w:tc>
                  </w:tr>
                </w:tbl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8" w:space="0" w:color="00808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00808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8080"/>
                    <w:right w:val="single" w:sz="8" w:space="0" w:color="008080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</w:tr>
            <w:tr w:rsidR="00A965FB" w:rsidRPr="009851F4" w:rsidTr="00A965FB">
              <w:trPr>
                <w:trHeight w:val="255"/>
              </w:trPr>
              <w:tc>
                <w:tcPr>
                  <w:tcW w:w="575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8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b/>
                      <w:bCs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  <w:r w:rsidRPr="009851F4"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65FB" w:rsidRPr="009851F4" w:rsidRDefault="00A965FB" w:rsidP="00787792">
                  <w:pPr>
                    <w:jc w:val="center"/>
                    <w:rPr>
                      <w:rFonts w:ascii="Calibri" w:hAnsi="Calibri" w:cs="Arial"/>
                      <w:color w:val="008080"/>
                      <w:sz w:val="22"/>
                      <w:szCs w:val="22"/>
                    </w:rPr>
                  </w:pPr>
                </w:p>
              </w:tc>
            </w:tr>
          </w:tbl>
          <w:p w:rsidR="00A965FB" w:rsidRPr="009851F4" w:rsidRDefault="00A965FB" w:rsidP="00787792">
            <w:pPr>
              <w:pStyle w:val="Corptext3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</w:tc>
      </w:tr>
    </w:tbl>
    <w:p w:rsidR="00A965FB" w:rsidRPr="009851F4" w:rsidRDefault="00A965FB" w:rsidP="00A965FB">
      <w:pPr>
        <w:rPr>
          <w:rFonts w:ascii="Calibri" w:hAnsi="Calibri"/>
          <w:sz w:val="22"/>
          <w:szCs w:val="22"/>
          <w:lang w:val="fr-FR" w:eastAsia="fr-FR"/>
        </w:rPr>
      </w:pPr>
    </w:p>
    <w:sectPr w:rsidR="00A965FB" w:rsidRPr="009851F4" w:rsidSect="00A965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B"/>
    <w:rsid w:val="00296EF0"/>
    <w:rsid w:val="00A965FB"/>
    <w:rsid w:val="00C43926"/>
    <w:rsid w:val="00E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A965F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A965FB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rsid w:val="00A965F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A965FB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dcterms:created xsi:type="dcterms:W3CDTF">2017-09-29T05:12:00Z</dcterms:created>
  <dcterms:modified xsi:type="dcterms:W3CDTF">2017-09-29T05:12:00Z</dcterms:modified>
</cp:coreProperties>
</file>